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925" w:rsidRPr="00E9426A" w:rsidRDefault="000A5138" w:rsidP="00E9426A">
      <w:pPr>
        <w:spacing w:after="160" w:line="360" w:lineRule="auto"/>
        <w:jc w:val="center"/>
        <w:rPr>
          <w:rFonts w:ascii="Times New Roman" w:hAnsi="Times New Roman" w:cs="Times New Roman"/>
          <w:b/>
          <w:bCs/>
          <w:sz w:val="24"/>
          <w:szCs w:val="24"/>
        </w:rPr>
      </w:pPr>
      <w:r w:rsidRPr="00E9426A">
        <w:rPr>
          <w:rFonts w:ascii="Times New Roman" w:hAnsi="Times New Roman" w:cs="Times New Roman"/>
          <w:b/>
          <w:bCs/>
          <w:sz w:val="24"/>
          <w:szCs w:val="24"/>
        </w:rPr>
        <w:t xml:space="preserve">Monitoring and Controlling </w:t>
      </w:r>
    </w:p>
    <w:p w:rsidR="00E9426A" w:rsidRPr="00E9426A" w:rsidRDefault="00E9426A" w:rsidP="00E9426A">
      <w:pPr>
        <w:spacing w:after="160" w:line="360" w:lineRule="auto"/>
        <w:jc w:val="center"/>
        <w:rPr>
          <w:rFonts w:ascii="Times New Roman" w:hAnsi="Times New Roman" w:cs="Times New Roman"/>
          <w:sz w:val="24"/>
          <w:szCs w:val="24"/>
        </w:rPr>
      </w:pPr>
    </w:p>
    <w:p w:rsidR="00F77925" w:rsidRPr="00E9426A" w:rsidRDefault="000A5138" w:rsidP="00E9426A">
      <w:pPr>
        <w:spacing w:after="80" w:line="360" w:lineRule="auto"/>
        <w:jc w:val="center"/>
        <w:rPr>
          <w:rFonts w:ascii="Times New Roman" w:hAnsi="Times New Roman" w:cs="Times New Roman"/>
          <w:b/>
          <w:bCs/>
          <w:sz w:val="24"/>
          <w:szCs w:val="24"/>
        </w:rPr>
      </w:pPr>
      <w:r w:rsidRPr="00E9426A">
        <w:rPr>
          <w:rFonts w:ascii="Times New Roman" w:hAnsi="Times New Roman" w:cs="Times New Roman"/>
          <w:b/>
          <w:bCs/>
          <w:sz w:val="24"/>
          <w:szCs w:val="24"/>
        </w:rPr>
        <w:t>Merrilton Mobile Payment Portal</w:t>
      </w:r>
    </w:p>
    <w:p w:rsidR="00E9426A" w:rsidRPr="00E9426A" w:rsidRDefault="00E9426A" w:rsidP="00E9426A">
      <w:pPr>
        <w:spacing w:after="80" w:line="360" w:lineRule="auto"/>
        <w:jc w:val="center"/>
        <w:rPr>
          <w:rFonts w:ascii="Times New Roman" w:hAnsi="Times New Roman" w:cs="Times New Roman"/>
          <w:b/>
          <w:bCs/>
          <w:sz w:val="24"/>
          <w:szCs w:val="24"/>
        </w:rPr>
      </w:pPr>
    </w:p>
    <w:p w:rsidR="00E9426A" w:rsidRPr="00E9426A" w:rsidRDefault="00E9426A" w:rsidP="00E9426A">
      <w:pPr>
        <w:spacing w:after="80" w:line="360" w:lineRule="auto"/>
        <w:jc w:val="center"/>
        <w:rPr>
          <w:rFonts w:ascii="Times New Roman" w:hAnsi="Times New Roman" w:cs="Times New Roman"/>
          <w:b/>
          <w:bCs/>
          <w:sz w:val="24"/>
          <w:szCs w:val="24"/>
        </w:rPr>
      </w:pPr>
    </w:p>
    <w:p w:rsidR="00E9426A" w:rsidRPr="00E9426A" w:rsidRDefault="00E9426A" w:rsidP="00E9426A">
      <w:pPr>
        <w:spacing w:after="80" w:line="360" w:lineRule="auto"/>
        <w:jc w:val="center"/>
        <w:rPr>
          <w:rFonts w:ascii="Times New Roman" w:hAnsi="Times New Roman" w:cs="Times New Roman"/>
          <w:sz w:val="24"/>
          <w:szCs w:val="24"/>
        </w:rPr>
      </w:pPr>
    </w:p>
    <w:p w:rsidR="00F77925" w:rsidRPr="00E9426A" w:rsidRDefault="000A5138" w:rsidP="00E9426A">
      <w:pPr>
        <w:spacing w:after="240" w:line="360" w:lineRule="auto"/>
        <w:jc w:val="center"/>
        <w:rPr>
          <w:rFonts w:ascii="Times New Roman" w:hAnsi="Times New Roman" w:cs="Times New Roman"/>
          <w:sz w:val="24"/>
          <w:szCs w:val="24"/>
        </w:rPr>
      </w:pPr>
      <w:r w:rsidRPr="00E9426A">
        <w:rPr>
          <w:rFonts w:ascii="Times New Roman" w:hAnsi="Times New Roman" w:cs="Times New Roman"/>
          <w:sz w:val="24"/>
          <w:szCs w:val="24"/>
        </w:rPr>
        <w:t>C857 — IT Project Management | Western Governors University</w:t>
      </w:r>
    </w:p>
    <w:p w:rsidR="00E9426A" w:rsidRPr="00E9426A" w:rsidRDefault="00E9426A" w:rsidP="00E9426A">
      <w:pPr>
        <w:spacing w:after="240" w:line="360" w:lineRule="auto"/>
        <w:jc w:val="center"/>
        <w:rPr>
          <w:rFonts w:ascii="Times New Roman" w:hAnsi="Times New Roman" w:cs="Times New Roman"/>
          <w:sz w:val="24"/>
          <w:szCs w:val="24"/>
        </w:rPr>
      </w:pPr>
    </w:p>
    <w:p w:rsidR="00E9426A" w:rsidRPr="00E9426A" w:rsidRDefault="00E9426A" w:rsidP="00E9426A">
      <w:pPr>
        <w:spacing w:after="240" w:line="360" w:lineRule="auto"/>
        <w:jc w:val="center"/>
        <w:rPr>
          <w:rFonts w:ascii="Times New Roman" w:hAnsi="Times New Roman" w:cs="Times New Roman"/>
          <w:sz w:val="24"/>
          <w:szCs w:val="24"/>
        </w:rPr>
      </w:pPr>
    </w:p>
    <w:p w:rsidR="00E9426A" w:rsidRPr="00E9426A" w:rsidRDefault="00E9426A" w:rsidP="00E9426A">
      <w:pPr>
        <w:spacing w:after="240" w:line="360" w:lineRule="auto"/>
        <w:jc w:val="center"/>
        <w:rPr>
          <w:rFonts w:ascii="Times New Roman" w:hAnsi="Times New Roman" w:cs="Times New Roman"/>
          <w:sz w:val="24"/>
          <w:szCs w:val="24"/>
        </w:rPr>
      </w:pPr>
    </w:p>
    <w:p w:rsidR="00E9426A" w:rsidRPr="00E9426A" w:rsidRDefault="00E9426A" w:rsidP="00E9426A">
      <w:pPr>
        <w:spacing w:after="240" w:line="360" w:lineRule="auto"/>
        <w:jc w:val="center"/>
        <w:rPr>
          <w:rFonts w:ascii="Times New Roman" w:hAnsi="Times New Roman" w:cs="Times New Roman"/>
          <w:sz w:val="24"/>
          <w:szCs w:val="24"/>
        </w:rPr>
      </w:pPr>
    </w:p>
    <w:tbl>
      <w:tblPr>
        <w:tblStyle w:val="TableGrid"/>
        <w:tblW w:w="9360" w:type="dxa"/>
        <w:tblLook w:val="0000" w:firstRow="0" w:lastRow="0" w:firstColumn="0" w:lastColumn="0" w:noHBand="0" w:noVBand="0"/>
      </w:tblPr>
      <w:tblGrid>
        <w:gridCol w:w="3120"/>
        <w:gridCol w:w="3120"/>
        <w:gridCol w:w="3120"/>
      </w:tblGrid>
      <w:tr w:rsidR="00141983" w:rsidRPr="00E9426A" w:rsidTr="00A66CA3">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Project Title</w:t>
            </w:r>
          </w:p>
        </w:tc>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Project Manager</w:t>
            </w:r>
          </w:p>
        </w:tc>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Customer</w:t>
            </w:r>
          </w:p>
        </w:tc>
      </w:tr>
      <w:tr w:rsidR="00141983" w:rsidRPr="00E9426A" w:rsidTr="00A66CA3">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Merrilton Mobile Payment Portal</w:t>
            </w:r>
          </w:p>
        </w:tc>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Joshua Silva</w:t>
            </w:r>
          </w:p>
        </w:tc>
        <w:tc>
          <w:tcPr>
            <w:tcW w:w="3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City of Merrilton</w:t>
            </w:r>
          </w:p>
        </w:tc>
      </w:tr>
    </w:tbl>
    <w:p w:rsidR="00E9426A" w:rsidRPr="00E9426A" w:rsidRDefault="00E9426A" w:rsidP="00E9426A">
      <w:pPr>
        <w:spacing w:before="200" w:line="360" w:lineRule="auto"/>
        <w:rPr>
          <w:rFonts w:ascii="Times New Roman" w:hAnsi="Times New Roman" w:cs="Times New Roman"/>
          <w:sz w:val="24"/>
          <w:szCs w:val="24"/>
        </w:rPr>
      </w:pPr>
    </w:p>
    <w:p w:rsidR="00E9426A" w:rsidRPr="00E9426A" w:rsidRDefault="00E9426A"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br w:type="page"/>
      </w:r>
    </w:p>
    <w:p w:rsidR="00F77925" w:rsidRPr="00E9426A" w:rsidRDefault="00F77925" w:rsidP="00E9426A">
      <w:pPr>
        <w:spacing w:before="200" w:line="360" w:lineRule="auto"/>
        <w:rPr>
          <w:rFonts w:ascii="Times New Roman" w:hAnsi="Times New Roman" w:cs="Times New Roman"/>
          <w:sz w:val="24"/>
          <w:szCs w:val="24"/>
        </w:rPr>
      </w:pP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A. Risk Assessment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Effective project monitoring requires the systematic identification and analytical classification of emerging risks before they materialize as schedule or cost variances. Structured risk assessment frameworks occupy a foundational role in project managemen</w:t>
      </w:r>
      <w:r w:rsidRPr="00E9426A">
        <w:rPr>
          <w:rFonts w:ascii="Times New Roman" w:hAnsi="Times New Roman" w:cs="Times New Roman"/>
          <w:sz w:val="24"/>
          <w:szCs w:val="24"/>
        </w:rPr>
        <w:t>t scholarship, with researchers arguing that qualitative probability-impact classification must be paired with a rigorous analytical process for assigning ownership and formulating mitigation responses (Barghi &amp; Sikari, 2020). The risk assessment framework</w:t>
      </w:r>
      <w:r w:rsidRPr="00E9426A">
        <w:rPr>
          <w:rFonts w:ascii="Times New Roman" w:hAnsi="Times New Roman" w:cs="Times New Roman"/>
          <w:sz w:val="24"/>
          <w:szCs w:val="24"/>
        </w:rPr>
        <w:t xml:space="preserve"> applied herein aligns with this scholarship and with the Project Management Institute's (PMI, 2021) structured risk management process, wherein each risk is evaluated according to its probability of occurrence and the magnitude of its potential impact, an</w:t>
      </w:r>
      <w:r w:rsidRPr="00E9426A">
        <w:rPr>
          <w:rFonts w:ascii="Times New Roman" w:hAnsi="Times New Roman" w:cs="Times New Roman"/>
          <w:sz w:val="24"/>
          <w:szCs w:val="24"/>
        </w:rPr>
        <w:t>d a designated responsible party is assigned both prevention and response authority.</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A persistent limitation of conventional probability-impact matrices is that qualitative ratings — High, Medium, Low — can obscure meaningful distinctions in risk severity </w:t>
      </w:r>
      <w:r w:rsidRPr="00E9426A">
        <w:rPr>
          <w:rFonts w:ascii="Times New Roman" w:hAnsi="Times New Roman" w:cs="Times New Roman"/>
          <w:sz w:val="24"/>
          <w:szCs w:val="24"/>
        </w:rPr>
        <w:t>and lead to misaligned resource allocation. Acebes et al. (2024) demonstrated that matrix-based prioritization frameworks frequently fail to differentiate between risks of materially different magnitudes when those risks share the same qualitative cell, an</w:t>
      </w:r>
      <w:r w:rsidRPr="00E9426A">
        <w:rPr>
          <w:rFonts w:ascii="Times New Roman" w:hAnsi="Times New Roman" w:cs="Times New Roman"/>
          <w:sz w:val="24"/>
          <w:szCs w:val="24"/>
        </w:rPr>
        <w:t>d recommended supplementing qualitative ratings with quantitative severity scoring to sharpen prioritization decisions. This assessment applies that principle by anchoring each qualitative rating to explicit scenario descriptions and assigning mitigation o</w:t>
      </w:r>
      <w:r w:rsidRPr="00E9426A">
        <w:rPr>
          <w:rFonts w:ascii="Times New Roman" w:hAnsi="Times New Roman" w:cs="Times New Roman"/>
          <w:sz w:val="24"/>
          <w:szCs w:val="24"/>
        </w:rPr>
        <w:t>wnership to the workgroup lead most proximate to the root cause, thereby providing the project manager with actionable, prioritized intelligence rather than undifferentiated lists. The five risks documented below were derived through critical analysis of t</w:t>
      </w:r>
      <w:r w:rsidRPr="00E9426A">
        <w:rPr>
          <w:rFonts w:ascii="Times New Roman" w:hAnsi="Times New Roman" w:cs="Times New Roman"/>
          <w:sz w:val="24"/>
          <w:szCs w:val="24"/>
        </w:rPr>
        <w:t>he workgroup status reports submitted at the close of project day 16 and represent the most consequential threats to the project's July 1, 2026, go-live objective within the City of Merrilton's fiscal-year budget constraint.</w:t>
      </w:r>
    </w:p>
    <w:p w:rsidR="00F77925" w:rsidRPr="00E9426A" w:rsidRDefault="00F77925" w:rsidP="00E9426A">
      <w:pPr>
        <w:spacing w:before="120" w:line="360" w:lineRule="auto"/>
        <w:rPr>
          <w:rFonts w:ascii="Times New Roman" w:hAnsi="Times New Roman" w:cs="Times New Roman"/>
          <w:sz w:val="24"/>
          <w:szCs w:val="24"/>
        </w:rPr>
      </w:pPr>
    </w:p>
    <w:tbl>
      <w:tblPr>
        <w:tblStyle w:val="TableGrid"/>
        <w:tblW w:w="9360" w:type="dxa"/>
        <w:tblLook w:val="0000" w:firstRow="0" w:lastRow="0" w:firstColumn="0" w:lastColumn="0" w:noHBand="0" w:noVBand="0"/>
      </w:tblPr>
      <w:tblGrid>
        <w:gridCol w:w="2027"/>
        <w:gridCol w:w="1324"/>
        <w:gridCol w:w="1083"/>
        <w:gridCol w:w="1629"/>
        <w:gridCol w:w="3297"/>
      </w:tblGrid>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Risk Description</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Likelihood (L</w:t>
            </w:r>
            <w:r w:rsidRPr="00E9426A">
              <w:rPr>
                <w:rFonts w:ascii="Times New Roman" w:hAnsi="Times New Roman" w:cs="Times New Roman"/>
                <w:b/>
                <w:bCs/>
                <w:sz w:val="24"/>
                <w:szCs w:val="24"/>
              </w:rPr>
              <w:t>/M/H)</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Impact (L/M/H)</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Responsible Person</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Prevention &amp; Mitigation Strategy</w:t>
            </w:r>
          </w:p>
        </w:tc>
      </w:tr>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Insufficient citizen email coverage in the legacy billing database may prevent electronic delivery of temporary account-activation codes, creating a barrier to portal adoption for a material segment of the resident population before the July 1, 2026, go-li</w:t>
            </w:r>
            <w:r w:rsidRPr="00E9426A">
              <w:rPr>
                <w:rFonts w:ascii="Times New Roman" w:hAnsi="Times New Roman" w:cs="Times New Roman"/>
                <w:sz w:val="24"/>
                <w:szCs w:val="24"/>
              </w:rPr>
              <w:t>ve.</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Medium</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High</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Maya Johnson (System Requirements)</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 xml:space="preserve">Implement a dual-channel activation strategy: transmit temporary login codes electronically to residents with verified email records, and enclose printed activation inserts in July utility bills for those </w:t>
            </w:r>
            <w:r w:rsidRPr="00E9426A">
              <w:rPr>
                <w:rFonts w:ascii="Times New Roman" w:hAnsi="Times New Roman" w:cs="Times New Roman"/>
                <w:sz w:val="24"/>
                <w:szCs w:val="24"/>
              </w:rPr>
              <w:t>without digital contact information on file. Establish post-launch activation monitoring with a 30-day escalation threshold for unresponsive accounts, triggering targeted outreach through community liaison channels.</w:t>
            </w:r>
          </w:p>
        </w:tc>
      </w:tr>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Service transactions — new activations,</w:t>
            </w:r>
            <w:r w:rsidRPr="00E9426A">
              <w:rPr>
                <w:rFonts w:ascii="Times New Roman" w:hAnsi="Times New Roman" w:cs="Times New Roman"/>
                <w:sz w:val="24"/>
                <w:szCs w:val="24"/>
              </w:rPr>
              <w:t xml:space="preserve"> terminations, and address modifications — occurring between the database construction phase and the July 1, 2026, system cutover risk creating irreconcilable data divergence </w:t>
            </w:r>
            <w:r w:rsidRPr="00E9426A">
              <w:rPr>
                <w:rFonts w:ascii="Times New Roman" w:hAnsi="Times New Roman" w:cs="Times New Roman"/>
                <w:sz w:val="24"/>
                <w:szCs w:val="24"/>
              </w:rPr>
              <w:lastRenderedPageBreak/>
              <w:t>between the legacy and new systems, undermining data integrity at launch.</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High</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Hi</w:t>
            </w:r>
            <w:r w:rsidRPr="00E9426A">
              <w:rPr>
                <w:rFonts w:ascii="Times New Roman" w:hAnsi="Times New Roman" w:cs="Times New Roman"/>
                <w:sz w:val="24"/>
                <w:szCs w:val="24"/>
              </w:rPr>
              <w:t>gh</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Fatima Kalani (Utilities)</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Institute a formally documented dual-entry synchronization protocol requiring concurrent recording of all service transactions in both the legacy and new systems from the cutover date forward. Designate a data steward responsib</w:t>
            </w:r>
            <w:r w:rsidRPr="00E9426A">
              <w:rPr>
                <w:rFonts w:ascii="Times New Roman" w:hAnsi="Times New Roman" w:cs="Times New Roman"/>
                <w:sz w:val="24"/>
                <w:szCs w:val="24"/>
              </w:rPr>
              <w:t>le for weekly reconciliation audits. Evaluate legacy system batch-export functionality to enable automated nightly synchronization, reducing manual overhead and transcription error risk.</w:t>
            </w:r>
          </w:p>
        </w:tc>
      </w:tr>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The technology grant funding for Code Enforcement hardware procureme</w:t>
            </w:r>
            <w:r w:rsidRPr="00E9426A">
              <w:rPr>
                <w:rFonts w:ascii="Times New Roman" w:hAnsi="Times New Roman" w:cs="Times New Roman"/>
                <w:sz w:val="24"/>
                <w:szCs w:val="24"/>
              </w:rPr>
              <w:t>nt expires June 30, 2026. Hardware deficiencies identified post-launch will require city general-fund appropriation, introducing procurement lead times and capital constraints that could delay full operational readiness.</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Medium</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High</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Alex Patel (Code Enforc</w:t>
            </w:r>
            <w:r w:rsidRPr="00E9426A">
              <w:rPr>
                <w:rFonts w:ascii="Times New Roman" w:hAnsi="Times New Roman" w:cs="Times New Roman"/>
                <w:sz w:val="24"/>
                <w:szCs w:val="24"/>
              </w:rPr>
              <w:t>ement)</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Conduct a comprehensive hardware requirements analysis no later than June 1, 2026, to procure all anticipated equipment within the grant cycle. Document projected post-launch hardware needs and submit a supplemental budget request to the city admini</w:t>
            </w:r>
            <w:r w:rsidRPr="00E9426A">
              <w:rPr>
                <w:rFonts w:ascii="Times New Roman" w:hAnsi="Times New Roman" w:cs="Times New Roman"/>
                <w:sz w:val="24"/>
                <w:szCs w:val="24"/>
              </w:rPr>
              <w:t>stration in advance, ensuring council approval timelines do not create a post-grant hardware gap at the commencement of enforcement operations.</w:t>
            </w:r>
          </w:p>
        </w:tc>
      </w:tr>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 xml:space="preserve">Retaining existing open maintenance requests in the paper-based filing system while routing all new </w:t>
            </w:r>
            <w:r w:rsidRPr="00E9426A">
              <w:rPr>
                <w:rFonts w:ascii="Times New Roman" w:hAnsi="Times New Roman" w:cs="Times New Roman"/>
                <w:sz w:val="24"/>
                <w:szCs w:val="24"/>
              </w:rPr>
              <w:lastRenderedPageBreak/>
              <w:t>requests to</w:t>
            </w:r>
            <w:r w:rsidRPr="00E9426A">
              <w:rPr>
                <w:rFonts w:ascii="Times New Roman" w:hAnsi="Times New Roman" w:cs="Times New Roman"/>
                <w:sz w:val="24"/>
                <w:szCs w:val="24"/>
              </w:rPr>
              <w:t xml:space="preserve"> the digital system creates a bifurcated workflow that increases the probability of overlooked requests and impedes staff adoption of the incoming platform.</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High</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Low</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Jack Martin (Public Housing)</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Establish a formal paper-to-digital transition plan requiring</w:t>
            </w:r>
            <w:r w:rsidRPr="00E9426A">
              <w:rPr>
                <w:rFonts w:ascii="Times New Roman" w:hAnsi="Times New Roman" w:cs="Times New Roman"/>
                <w:sz w:val="24"/>
                <w:szCs w:val="24"/>
              </w:rPr>
              <w:t xml:space="preserve"> all open maintenance requests to be closed or digitized before go-live. Implement a hard cutover policy specifying that </w:t>
            </w:r>
            <w:r w:rsidRPr="00E9426A">
              <w:rPr>
                <w:rFonts w:ascii="Times New Roman" w:hAnsi="Times New Roman" w:cs="Times New Roman"/>
                <w:sz w:val="24"/>
                <w:szCs w:val="24"/>
              </w:rPr>
              <w:lastRenderedPageBreak/>
              <w:t xml:space="preserve">all requests received after a defined transition date are entered exclusively in the new system. Communicate the policy to maintenance </w:t>
            </w:r>
            <w:r w:rsidRPr="00E9426A">
              <w:rPr>
                <w:rFonts w:ascii="Times New Roman" w:hAnsi="Times New Roman" w:cs="Times New Roman"/>
                <w:sz w:val="24"/>
                <w:szCs w:val="24"/>
              </w:rPr>
              <w:t>personnel and housing office staff through structured transition training.</w:t>
            </w:r>
          </w:p>
        </w:tc>
      </w:tr>
      <w:tr w:rsidR="00141983" w:rsidRPr="00E9426A" w:rsidTr="00273864">
        <w:tc>
          <w:tcPr>
            <w:tcW w:w="22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Stakeholder pressure — arising from a mayoral commitment at a community council meeting — to incorporate third-party payment platforms (e.g., Autojor, Sparkit) has prompted unsanct</w:t>
            </w:r>
            <w:r w:rsidRPr="00E9426A">
              <w:rPr>
                <w:rFonts w:ascii="Times New Roman" w:hAnsi="Times New Roman" w:cs="Times New Roman"/>
                <w:sz w:val="24"/>
                <w:szCs w:val="24"/>
              </w:rPr>
              <w:t xml:space="preserve">ioned exploratory work by the Payment Processing team, consuming </w:t>
            </w:r>
            <w:r w:rsidRPr="00E9426A">
              <w:rPr>
                <w:rFonts w:ascii="Times New Roman" w:hAnsi="Times New Roman" w:cs="Times New Roman"/>
                <w:sz w:val="24"/>
                <w:szCs w:val="24"/>
              </w:rPr>
              <w:lastRenderedPageBreak/>
              <w:t>chartered hours on out-of-scope activities without formal change authorization.</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Low</w:t>
            </w:r>
          </w:p>
        </w:tc>
        <w:tc>
          <w:tcPr>
            <w:tcW w:w="9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High</w:t>
            </w:r>
          </w:p>
        </w:tc>
        <w:tc>
          <w:tcPr>
            <w:tcW w:w="15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Mateo Costa (Payment Processing)</w:t>
            </w:r>
          </w:p>
        </w:tc>
        <w:tc>
          <w:tcPr>
            <w:tcW w:w="38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Invoke a formal scope freeze for the Payment Processing workgroup imm</w:t>
            </w:r>
            <w:r w:rsidRPr="00E9426A">
              <w:rPr>
                <w:rFonts w:ascii="Times New Roman" w:hAnsi="Times New Roman" w:cs="Times New Roman"/>
                <w:sz w:val="24"/>
                <w:szCs w:val="24"/>
              </w:rPr>
              <w:t>ediately, directing all team effort to the four charter-approved deliverables. Log the alternative payment type request in the project change register, defer it to a formally scoped Phase 2 post-launch roadmap, and brief the mayor and community council wit</w:t>
            </w:r>
            <w:r w:rsidRPr="00E9426A">
              <w:rPr>
                <w:rFonts w:ascii="Times New Roman" w:hAnsi="Times New Roman" w:cs="Times New Roman"/>
                <w:sz w:val="24"/>
                <w:szCs w:val="24"/>
              </w:rPr>
              <w:t>h a phased delivery plan that acknowledges the request while quantifying the schedule and budget impact of incorporating it into the current project cycle.</w:t>
            </w:r>
          </w:p>
        </w:tc>
      </w:tr>
    </w:tbl>
    <w:p w:rsidR="00F77925" w:rsidRPr="00E9426A" w:rsidRDefault="000A5138" w:rsidP="00E9426A">
      <w:pPr>
        <w:spacing w:before="80" w:after="200" w:line="360" w:lineRule="auto"/>
        <w:rPr>
          <w:rFonts w:ascii="Times New Roman" w:hAnsi="Times New Roman" w:cs="Times New Roman"/>
          <w:sz w:val="24"/>
          <w:szCs w:val="24"/>
        </w:rPr>
      </w:pPr>
      <w:r w:rsidRPr="00E9426A">
        <w:rPr>
          <w:rFonts w:ascii="Times New Roman" w:hAnsi="Times New Roman" w:cs="Times New Roman"/>
          <w:i/>
          <w:iCs/>
          <w:sz w:val="24"/>
          <w:szCs w:val="24"/>
        </w:rPr>
        <w:t xml:space="preserve">Note: L = Low | M = Medium | H = High. All ratings reflect conditions as of the end of the working </w:t>
      </w:r>
      <w:r w:rsidRPr="00E9426A">
        <w:rPr>
          <w:rFonts w:ascii="Times New Roman" w:hAnsi="Times New Roman" w:cs="Times New Roman"/>
          <w:i/>
          <w:iCs/>
          <w:sz w:val="24"/>
          <w:szCs w:val="24"/>
        </w:rPr>
        <w:t>day 16.</w:t>
      </w: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B. Gantt Chart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project schedule for the Merrilton Mobile Payment Portal encompasses 30 discrete tasks organized across five workgroups — System Requirements, Utilities, Code Enforcement, Public Housing, and Payment Processing — spanning 62 work</w:t>
      </w:r>
      <w:r w:rsidRPr="00E9426A">
        <w:rPr>
          <w:rFonts w:ascii="Times New Roman" w:hAnsi="Times New Roman" w:cs="Times New Roman"/>
          <w:sz w:val="24"/>
          <w:szCs w:val="24"/>
        </w:rPr>
        <w:t>ing days from Monday, March 2, 2026, through Friday, June 12, 2026. The Gantt chart was constructed in strict adherence to the work breakdown structure (WBS) provided in Case Study 5, incorporating the task duration estimates and predecessor dependency rel</w:t>
      </w:r>
      <w:r w:rsidRPr="00E9426A">
        <w:rPr>
          <w:rFonts w:ascii="Times New Roman" w:hAnsi="Times New Roman" w:cs="Times New Roman"/>
          <w:sz w:val="24"/>
          <w:szCs w:val="24"/>
        </w:rPr>
        <w:t>ationships specified therein (Western Governors University [WGU], 2026).</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critical path traverses the following task sequence: Billing Department User Interviews (1.1) → Determine Technology Needs (1.3) → [concurrent: Create Database Tables 2.1, 3.1, 4.</w:t>
      </w:r>
      <w:r w:rsidRPr="00E9426A">
        <w:rPr>
          <w:rFonts w:ascii="Times New Roman" w:hAnsi="Times New Roman" w:cs="Times New Roman"/>
          <w:sz w:val="24"/>
          <w:szCs w:val="24"/>
        </w:rPr>
        <w:t>1; GIS System Integration 3.1; Mobile Device Procurement 3.2] → Ad Hoc Service Billing Development (5.1) → Integration with Billing Systems (5.2) → Establish Merchant Accounts (5.3) → Set Up EFT Gateway (5.4) → Training Billing Specialists (5.5). Payment P</w:t>
      </w:r>
      <w:r w:rsidRPr="00E9426A">
        <w:rPr>
          <w:rFonts w:ascii="Times New Roman" w:hAnsi="Times New Roman" w:cs="Times New Roman"/>
          <w:sz w:val="24"/>
          <w:szCs w:val="24"/>
        </w:rPr>
        <w:t>rocessing represents the longest and most schedule-sensitive workgroup at 62 days; its final task — Training Billing Specialists — completes on June 12, 2026, eighteen days before the fiscal-year deadline. Any delay to tasks on this path propagates directl</w:t>
      </w:r>
      <w:r w:rsidRPr="00E9426A">
        <w:rPr>
          <w:rFonts w:ascii="Times New Roman" w:hAnsi="Times New Roman" w:cs="Times New Roman"/>
          <w:sz w:val="24"/>
          <w:szCs w:val="24"/>
        </w:rPr>
        <w:t>y to the project completion date, making Payment Processing the primary schedule risk vector.</w:t>
      </w:r>
    </w:p>
    <w:p w:rsidR="00F77925" w:rsidRPr="00E9426A" w:rsidRDefault="000A5138" w:rsidP="00E9426A">
      <w:pPr>
        <w:spacing w:before="160" w:after="80" w:line="360" w:lineRule="auto"/>
        <w:rPr>
          <w:rFonts w:ascii="Times New Roman" w:hAnsi="Times New Roman" w:cs="Times New Roman"/>
          <w:b/>
          <w:bCs/>
          <w:sz w:val="24"/>
          <w:szCs w:val="24"/>
        </w:rPr>
      </w:pPr>
      <w:r w:rsidRPr="00E9426A">
        <w:rPr>
          <w:rFonts w:ascii="Times New Roman" w:hAnsi="Times New Roman" w:cs="Times New Roman"/>
          <w:b/>
          <w:bCs/>
          <w:sz w:val="24"/>
          <w:szCs w:val="24"/>
        </w:rPr>
        <w:t>Drawing 1: Task List — Work Breakdown Structure (All 30 Tasks)</w:t>
      </w:r>
    </w:p>
    <w:p w:rsidR="00273864" w:rsidRPr="00E9426A" w:rsidRDefault="000A5138" w:rsidP="00E9426A">
      <w:pPr>
        <w:spacing w:before="160" w:after="80" w:line="360" w:lineRule="auto"/>
        <w:rPr>
          <w:rFonts w:ascii="Times New Roman" w:hAnsi="Times New Roman" w:cs="Times New Roman"/>
          <w:sz w:val="24"/>
          <w:szCs w:val="24"/>
        </w:rPr>
      </w:pPr>
      <w:r w:rsidRPr="00E9426A">
        <w:rPr>
          <w:rFonts w:ascii="Times New Roman" w:hAnsi="Times New Roman" w:cs="Times New Roman"/>
          <w:noProof/>
          <w:sz w:val="24"/>
          <w:szCs w:val="24"/>
        </w:rPr>
        <w:lastRenderedPageBreak/>
        <w:drawing>
          <wp:inline distT="0" distB="0" distL="0" distR="0">
            <wp:extent cx="5943600" cy="3529965"/>
            <wp:effectExtent l="0" t="0" r="0" b="0"/>
            <wp:docPr id="101" name="GanttTas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GanttTasks"/>
                    <pic:cNvPicPr/>
                  </pic:nvPicPr>
                  <pic:blipFill>
                    <a:blip r:embed="rId5"/>
                    <a:stretch>
                      <a:fillRect/>
                    </a:stretch>
                  </pic:blipFill>
                  <pic:spPr>
                    <a:xfrm>
                      <a:off x="0" y="0"/>
                      <a:ext cx="5943600" cy="3529965"/>
                    </a:xfrm>
                    <a:prstGeom prst="rect">
                      <a:avLst/>
                    </a:prstGeom>
                  </pic:spPr>
                </pic:pic>
              </a:graphicData>
            </a:graphic>
          </wp:inline>
        </w:drawing>
      </w:r>
    </w:p>
    <w:p w:rsidR="00F77925" w:rsidRPr="00E9426A" w:rsidRDefault="000A5138" w:rsidP="00E9426A">
      <w:pPr>
        <w:spacing w:before="80" w:after="80" w:line="360" w:lineRule="auto"/>
        <w:rPr>
          <w:rFonts w:ascii="Times New Roman" w:hAnsi="Times New Roman" w:cs="Times New Roman"/>
          <w:b/>
          <w:bCs/>
          <w:sz w:val="24"/>
          <w:szCs w:val="24"/>
        </w:rPr>
      </w:pPr>
      <w:r w:rsidRPr="00E9426A">
        <w:rPr>
          <w:rFonts w:ascii="Times New Roman" w:hAnsi="Times New Roman" w:cs="Times New Roman"/>
          <w:b/>
          <w:bCs/>
          <w:sz w:val="24"/>
          <w:szCs w:val="24"/>
        </w:rPr>
        <w:t>Drawing 2: Timeline — March 2, 2026 to April 30, 2026</w:t>
      </w:r>
    </w:p>
    <w:p w:rsidR="00273864" w:rsidRPr="00E9426A" w:rsidRDefault="000A5138" w:rsidP="00E9426A">
      <w:pPr>
        <w:spacing w:before="80" w:after="80" w:line="360" w:lineRule="auto"/>
        <w:rPr>
          <w:rFonts w:ascii="Times New Roman" w:hAnsi="Times New Roman" w:cs="Times New Roman"/>
          <w:sz w:val="24"/>
          <w:szCs w:val="24"/>
        </w:rPr>
      </w:pPr>
      <w:r w:rsidRPr="00E9426A">
        <w:rPr>
          <w:rFonts w:ascii="Times New Roman" w:hAnsi="Times New Roman" w:cs="Times New Roman"/>
          <w:noProof/>
          <w:sz w:val="24"/>
          <w:szCs w:val="24"/>
        </w:rPr>
        <w:drawing>
          <wp:inline distT="0" distB="0" distL="0" distR="0">
            <wp:extent cx="5943600" cy="3061335"/>
            <wp:effectExtent l="0" t="0" r="0" b="5715"/>
            <wp:docPr id="103" name="GanttTimel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GanttTimeline1"/>
                    <pic:cNvPicPr/>
                  </pic:nvPicPr>
                  <pic:blipFill>
                    <a:blip r:embed="rId6"/>
                    <a:stretch>
                      <a:fillRect/>
                    </a:stretch>
                  </pic:blipFill>
                  <pic:spPr>
                    <a:xfrm>
                      <a:off x="0" y="0"/>
                      <a:ext cx="5943600" cy="3061335"/>
                    </a:xfrm>
                    <a:prstGeom prst="rect">
                      <a:avLst/>
                    </a:prstGeom>
                  </pic:spPr>
                </pic:pic>
              </a:graphicData>
            </a:graphic>
          </wp:inline>
        </w:drawing>
      </w:r>
    </w:p>
    <w:p w:rsidR="00F77925" w:rsidRPr="00E9426A" w:rsidRDefault="000A5138" w:rsidP="00E9426A">
      <w:pPr>
        <w:spacing w:before="80" w:after="80" w:line="360" w:lineRule="auto"/>
        <w:rPr>
          <w:rFonts w:ascii="Times New Roman" w:hAnsi="Times New Roman" w:cs="Times New Roman"/>
          <w:sz w:val="24"/>
          <w:szCs w:val="24"/>
        </w:rPr>
      </w:pPr>
      <w:r w:rsidRPr="00E9426A">
        <w:rPr>
          <w:rFonts w:ascii="Times New Roman" w:hAnsi="Times New Roman" w:cs="Times New Roman"/>
          <w:b/>
          <w:bCs/>
          <w:sz w:val="24"/>
          <w:szCs w:val="24"/>
        </w:rPr>
        <w:t>Drawing 3: Timeline — May</w:t>
      </w:r>
      <w:r w:rsidRPr="00E9426A">
        <w:rPr>
          <w:rFonts w:ascii="Times New Roman" w:hAnsi="Times New Roman" w:cs="Times New Roman"/>
          <w:b/>
          <w:bCs/>
          <w:sz w:val="24"/>
          <w:szCs w:val="24"/>
        </w:rPr>
        <w:t xml:space="preserve"> 1, 2026 to June 12, 2026 (Critical Path Completion)</w:t>
      </w:r>
    </w:p>
    <w:p w:rsidR="00273864" w:rsidRPr="00E9426A" w:rsidRDefault="000A5138" w:rsidP="00E9426A">
      <w:pPr>
        <w:spacing w:before="80" w:after="200" w:line="360" w:lineRule="auto"/>
        <w:rPr>
          <w:rFonts w:ascii="Times New Roman" w:hAnsi="Times New Roman" w:cs="Times New Roman"/>
          <w:i/>
          <w:iCs/>
          <w:sz w:val="24"/>
          <w:szCs w:val="24"/>
        </w:rPr>
      </w:pPr>
      <w:r w:rsidRPr="00E9426A">
        <w:rPr>
          <w:rFonts w:ascii="Times New Roman" w:hAnsi="Times New Roman" w:cs="Times New Roman"/>
          <w:noProof/>
          <w:sz w:val="24"/>
          <w:szCs w:val="24"/>
        </w:rPr>
        <w:lastRenderedPageBreak/>
        <w:drawing>
          <wp:inline distT="0" distB="0" distL="0" distR="0">
            <wp:extent cx="5943600" cy="3422015"/>
            <wp:effectExtent l="0" t="0" r="0" b="6985"/>
            <wp:docPr id="105" name="GanttTimel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GanttTimeline2"/>
                    <pic:cNvPicPr/>
                  </pic:nvPicPr>
                  <pic:blipFill>
                    <a:blip r:embed="rId7"/>
                    <a:stretch>
                      <a:fillRect/>
                    </a:stretch>
                  </pic:blipFill>
                  <pic:spPr>
                    <a:xfrm>
                      <a:off x="0" y="0"/>
                      <a:ext cx="5943600" cy="3422015"/>
                    </a:xfrm>
                    <a:prstGeom prst="rect">
                      <a:avLst/>
                    </a:prstGeom>
                  </pic:spPr>
                </pic:pic>
              </a:graphicData>
            </a:graphic>
          </wp:inline>
        </w:drawing>
      </w:r>
    </w:p>
    <w:p w:rsidR="00F77925" w:rsidRPr="00E9426A" w:rsidRDefault="000A5138" w:rsidP="00E9426A">
      <w:pPr>
        <w:spacing w:before="80" w:after="200" w:line="360" w:lineRule="auto"/>
        <w:rPr>
          <w:rFonts w:ascii="Times New Roman" w:hAnsi="Times New Roman" w:cs="Times New Roman"/>
          <w:sz w:val="24"/>
          <w:szCs w:val="24"/>
        </w:rPr>
      </w:pPr>
      <w:r w:rsidRPr="00E9426A">
        <w:rPr>
          <w:rFonts w:ascii="Times New Roman" w:hAnsi="Times New Roman" w:cs="Times New Roman"/>
          <w:i/>
          <w:iCs/>
          <w:sz w:val="24"/>
          <w:szCs w:val="24"/>
        </w:rPr>
        <w:t xml:space="preserve">Figure 1. Merrilton Mobile Payment Portal — Project Gantt Chart (March 2 – June 12, 2026). Drawing 1 shows the full task list with durations, start/finish dates, and predecessor dependencies. Drawings </w:t>
      </w:r>
      <w:r w:rsidRPr="00E9426A">
        <w:rPr>
          <w:rFonts w:ascii="Times New Roman" w:hAnsi="Times New Roman" w:cs="Times New Roman"/>
          <w:i/>
          <w:iCs/>
          <w:sz w:val="24"/>
          <w:szCs w:val="24"/>
        </w:rPr>
        <w:t>2 and 3 show the bar chart timeline split across two date ranges. Bold rows denote workgroup summary tasks; the critical path runs through Payment Processing, completing June 12, 2026.</w:t>
      </w: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C. Earned Value Analysis</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C1. Earned Value Analysis Table</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Earned value m</w:t>
      </w:r>
      <w:r w:rsidRPr="00E9426A">
        <w:rPr>
          <w:rFonts w:ascii="Times New Roman" w:hAnsi="Times New Roman" w:cs="Times New Roman"/>
          <w:sz w:val="24"/>
          <w:szCs w:val="24"/>
        </w:rPr>
        <w:t>anagement (EVM) has emerged as the dominant quantitative framework for project performance measurement, providing an integrated view of schedule and cost performance that neither budget tracking nor schedule tracking can deliver in isolation. Aramali et al</w:t>
      </w:r>
      <w:r w:rsidRPr="00E9426A">
        <w:rPr>
          <w:rFonts w:ascii="Times New Roman" w:hAnsi="Times New Roman" w:cs="Times New Roman"/>
          <w:sz w:val="24"/>
          <w:szCs w:val="24"/>
        </w:rPr>
        <w:t>. (2021) identified cost variance, schedule variance, cost performance index, and schedule performance index as the critical subprocesses of a high-performing EVMS, noting that organizations that deploy these metrics consistently demonstrate materially sup</w:t>
      </w:r>
      <w:r w:rsidRPr="00E9426A">
        <w:rPr>
          <w:rFonts w:ascii="Times New Roman" w:hAnsi="Times New Roman" w:cs="Times New Roman"/>
          <w:sz w:val="24"/>
          <w:szCs w:val="24"/>
        </w:rPr>
        <w:t>erior outcomes in both on-time and on-budget project delivery. The following earned value analysis is computed as of the close of project day 16 and employs the standard EVM formulas prescribed by PMI (2021).</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Earned Value (EV) for each workgroup was calcul</w:t>
      </w:r>
      <w:r w:rsidRPr="00E9426A">
        <w:rPr>
          <w:rFonts w:ascii="Times New Roman" w:hAnsi="Times New Roman" w:cs="Times New Roman"/>
          <w:sz w:val="24"/>
          <w:szCs w:val="24"/>
        </w:rPr>
        <w:t xml:space="preserve">ated as EV = BAC × % Complete, where BAC represents the total budgeted cost of the workgroup in dollars and % Complete is the reported completion percentage from each team lead's status report. Planned Value (PV) represents the cumulative budgeted cost of </w:t>
      </w:r>
      <w:r w:rsidRPr="00E9426A">
        <w:rPr>
          <w:rFonts w:ascii="Times New Roman" w:hAnsi="Times New Roman" w:cs="Times New Roman"/>
          <w:sz w:val="24"/>
          <w:szCs w:val="24"/>
        </w:rPr>
        <w:t>all work scheduled to be completed through day 16, derived from the WBS task durations and scheduled start dates. Actual Cost (AC) is sourced directly from the expenditure figures in the team lead status reports. Derived metrics are defined as follows: Cos</w:t>
      </w:r>
      <w:r w:rsidRPr="00E9426A">
        <w:rPr>
          <w:rFonts w:ascii="Times New Roman" w:hAnsi="Times New Roman" w:cs="Times New Roman"/>
          <w:sz w:val="24"/>
          <w:szCs w:val="24"/>
        </w:rPr>
        <w:t>t Variance (CV = EV − AC); Cost Performance Index (CPI = EV / AC); Schedule Variance (SV = EV − PV); Schedule Performance Index (SPI = EV / PV). Negative variance values are displayed in parentheses to denote unfavorable performance.</w:t>
      </w:r>
    </w:p>
    <w:p w:rsidR="00F77925" w:rsidRPr="00E9426A" w:rsidRDefault="00F77925" w:rsidP="00E9426A">
      <w:pPr>
        <w:spacing w:before="120" w:line="360" w:lineRule="auto"/>
        <w:rPr>
          <w:rFonts w:ascii="Times New Roman" w:hAnsi="Times New Roman" w:cs="Times New Roman"/>
          <w:sz w:val="24"/>
          <w:szCs w:val="24"/>
        </w:rPr>
      </w:pPr>
    </w:p>
    <w:tbl>
      <w:tblPr>
        <w:tblStyle w:val="TableGrid"/>
        <w:tblW w:w="9360" w:type="dxa"/>
        <w:tblLook w:val="0000" w:firstRow="0" w:lastRow="0" w:firstColumn="0" w:lastColumn="0" w:noHBand="0" w:noVBand="0"/>
      </w:tblPr>
      <w:tblGrid>
        <w:gridCol w:w="1550"/>
        <w:gridCol w:w="1296"/>
        <w:gridCol w:w="1296"/>
        <w:gridCol w:w="1296"/>
        <w:gridCol w:w="1336"/>
        <w:gridCol w:w="636"/>
        <w:gridCol w:w="1336"/>
        <w:gridCol w:w="636"/>
      </w:tblGrid>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Team / Workgroup</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EV</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AC</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PV</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CV</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CPI</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SV</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SPI</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Maya Johnson — System Requirements</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$6,175.96</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$6,800.00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$7,360.00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($624.04)</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0.91</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($1,184.04)</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0.84</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Fatima Kalani — Utilities</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$4,616.48</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$4,500.00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$5,200.00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$116.48</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1.03</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($583.52)</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0.89</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Alex Patel — Code Enforcement</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$4,123.20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$4,500.00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$5,760.00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($376.80)</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0.92</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($1,636.80)</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0.72</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Jack Martin — Public Housing</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$5,471.72</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$5,350.00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$8,268.00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$121.72</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1.02</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($2,796.28)</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0.66</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Mateo Costa — Payment Processing</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$2,287.48</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$2,950.00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$1,200.00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($662.52)</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0.78</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$1,087.48</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1.91</w:t>
            </w:r>
          </w:p>
        </w:tc>
      </w:tr>
      <w:tr w:rsidR="00141983" w:rsidRPr="00E9426A" w:rsidTr="00273864">
        <w:tc>
          <w:tcPr>
            <w:tcW w:w="20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PROJECT TOTAL</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$22,674.84</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$24,100.00</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$23,475.96</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($1,425.16)</w:t>
            </w:r>
          </w:p>
        </w:tc>
        <w:tc>
          <w:tcPr>
            <w:tcW w:w="8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0.94</w:t>
            </w:r>
          </w:p>
        </w:tc>
        <w:tc>
          <w:tcPr>
            <w:tcW w:w="112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($801.12)</w:t>
            </w:r>
          </w:p>
        </w:tc>
        <w:tc>
          <w:tcPr>
            <w:tcW w:w="9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0.97</w:t>
            </w:r>
          </w:p>
        </w:tc>
      </w:tr>
    </w:tbl>
    <w:p w:rsidR="00F77925" w:rsidRPr="00E9426A" w:rsidRDefault="00F77925" w:rsidP="00E9426A">
      <w:pPr>
        <w:spacing w:before="200" w:line="360" w:lineRule="auto"/>
        <w:rPr>
          <w:rFonts w:ascii="Times New Roman" w:hAnsi="Times New Roman" w:cs="Times New Roman"/>
          <w:sz w:val="24"/>
          <w:szCs w:val="24"/>
        </w:rPr>
      </w:pP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C2. Earned Value Projections Table</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Forward projections employ the Estimate at Completion formula EAC = BAC / CPI, which assumes that the cost efficiency observed through day 16 is representative of th</w:t>
      </w:r>
      <w:r w:rsidRPr="00E9426A">
        <w:rPr>
          <w:rFonts w:ascii="Times New Roman" w:hAnsi="Times New Roman" w:cs="Times New Roman"/>
          <w:sz w:val="24"/>
          <w:szCs w:val="24"/>
        </w:rPr>
        <w:t>e efficiency that will prevail for the remainder of the project. Mayo-Alvarez et al. (2022) validated this approach in their systematic review of EVM scheduling methods, finding that CPI-based EAC forecasts demonstrate superior predictive accuracy when a p</w:t>
      </w:r>
      <w:r w:rsidRPr="00E9426A">
        <w:rPr>
          <w:rFonts w:ascii="Times New Roman" w:hAnsi="Times New Roman" w:cs="Times New Roman"/>
          <w:sz w:val="24"/>
          <w:szCs w:val="24"/>
        </w:rPr>
        <w:t>erformance trend is observable across at least 15–20% of the project timeline — a threshold this project has now crossed at day 16. Estimate to Complete (ETC = EAC − AC) represents the remaining projected expenditure required to bring each workgroup to ful</w:t>
      </w:r>
      <w:r w:rsidRPr="00E9426A">
        <w:rPr>
          <w:rFonts w:ascii="Times New Roman" w:hAnsi="Times New Roman" w:cs="Times New Roman"/>
          <w:sz w:val="24"/>
          <w:szCs w:val="24"/>
        </w:rPr>
        <w:t xml:space="preserve">l completion. Projected total duration was computed by dividing the originally planned working days for each workgroup by its current SPI. The </w:t>
      </w:r>
      <w:r w:rsidRPr="00E9426A">
        <w:rPr>
          <w:rFonts w:ascii="Segoe UI Symbol" w:hAnsi="Segoe UI Symbol" w:cs="Segoe UI Symbol"/>
          <w:sz w:val="24"/>
          <w:szCs w:val="24"/>
        </w:rPr>
        <w:t>⚠</w:t>
      </w:r>
      <w:r w:rsidRPr="00E9426A">
        <w:rPr>
          <w:rFonts w:ascii="Times New Roman" w:hAnsi="Times New Roman" w:cs="Times New Roman"/>
          <w:sz w:val="24"/>
          <w:szCs w:val="24"/>
        </w:rPr>
        <w:t xml:space="preserve"> symbol denotes a projected completion date that breaches the June 30, 2026, fiscal-year deadline.</w:t>
      </w:r>
    </w:p>
    <w:p w:rsidR="00F77925" w:rsidRPr="00E9426A" w:rsidRDefault="00F77925" w:rsidP="00E9426A">
      <w:pPr>
        <w:spacing w:before="120" w:line="360" w:lineRule="auto"/>
        <w:rPr>
          <w:rFonts w:ascii="Times New Roman" w:hAnsi="Times New Roman" w:cs="Times New Roman"/>
          <w:sz w:val="24"/>
          <w:szCs w:val="24"/>
        </w:rPr>
      </w:pPr>
    </w:p>
    <w:tbl>
      <w:tblPr>
        <w:tblStyle w:val="TableGrid"/>
        <w:tblW w:w="9360" w:type="dxa"/>
        <w:tblLook w:val="0000" w:firstRow="0" w:lastRow="0" w:firstColumn="0" w:lastColumn="0" w:noHBand="0" w:noVBand="0"/>
      </w:tblPr>
      <w:tblGrid>
        <w:gridCol w:w="2400"/>
        <w:gridCol w:w="1740"/>
        <w:gridCol w:w="1740"/>
        <w:gridCol w:w="1440"/>
        <w:gridCol w:w="2040"/>
      </w:tblGrid>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Team / Workg</w:t>
            </w:r>
            <w:r w:rsidRPr="00E9426A">
              <w:rPr>
                <w:rFonts w:ascii="Times New Roman" w:hAnsi="Times New Roman" w:cs="Times New Roman"/>
                <w:b/>
                <w:bCs/>
                <w:sz w:val="24"/>
                <w:szCs w:val="24"/>
              </w:rPr>
              <w:t>roup</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EAC</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ETC</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Est. Duration</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Est. Completion Date</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Maya Johnson — System Requirements</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$10,129.60</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$3,329.60</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24 days</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April 2, 2026</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Fatima Kalani — Utilities</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$17,155.93</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$12,655.93</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30 days</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April 20, 2026</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Alex Patel — Code Enforcement</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$26,193.25</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$21,693.25</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 xml:space="preserve">52 </w:t>
            </w:r>
            <w:r w:rsidRPr="00E9426A">
              <w:rPr>
                <w:rFonts w:ascii="Times New Roman" w:hAnsi="Times New Roman" w:cs="Times New Roman"/>
                <w:sz w:val="24"/>
                <w:szCs w:val="24"/>
              </w:rPr>
              <w:t>days</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May 25, 2026</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Jack Martin — Public Housing</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$20,728.40</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$15,378.40</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35 days</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April 15, 2026</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Mateo Costa — Payment Processing</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$42,815.67</w:t>
            </w:r>
          </w:p>
        </w:tc>
        <w:tc>
          <w:tcPr>
            <w:tcW w:w="17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$39,865.67</w:t>
            </w:r>
          </w:p>
        </w:tc>
        <w:tc>
          <w:tcPr>
            <w:tcW w:w="14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81 days</w:t>
            </w:r>
          </w:p>
        </w:tc>
        <w:tc>
          <w:tcPr>
            <w:tcW w:w="204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 xml:space="preserve">July 10, 2026 </w:t>
            </w:r>
            <w:r w:rsidRPr="00E9426A">
              <w:rPr>
                <w:rFonts w:ascii="Segoe UI Symbol" w:hAnsi="Segoe UI Symbol" w:cs="Segoe UI Symbol"/>
                <w:b/>
                <w:bCs/>
                <w:sz w:val="24"/>
                <w:szCs w:val="24"/>
              </w:rPr>
              <w:t>⚠</w:t>
            </w:r>
          </w:p>
        </w:tc>
      </w:tr>
    </w:tbl>
    <w:p w:rsidR="00F77925" w:rsidRPr="00E9426A" w:rsidRDefault="00F77925" w:rsidP="00E9426A">
      <w:pPr>
        <w:spacing w:before="200" w:line="360" w:lineRule="auto"/>
        <w:rPr>
          <w:rFonts w:ascii="Times New Roman" w:hAnsi="Times New Roman" w:cs="Times New Roman"/>
          <w:sz w:val="24"/>
          <w:szCs w:val="24"/>
        </w:rPr>
      </w:pP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C3. Discussion of Earned Value Analysis and Projections</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The earned value analysis</w:t>
      </w:r>
      <w:r w:rsidRPr="00E9426A">
        <w:rPr>
          <w:rFonts w:ascii="Times New Roman" w:hAnsi="Times New Roman" w:cs="Times New Roman"/>
          <w:sz w:val="24"/>
          <w:szCs w:val="24"/>
        </w:rPr>
        <w:t xml:space="preserve"> conducted at the end of project day 16 reveals a project exhibiting marginal but operationally significant underperformance across both schedule and cost dimensions at the aggregate level, while concealing workgroup-level distress of considerably greater </w:t>
      </w:r>
      <w:r w:rsidRPr="00E9426A">
        <w:rPr>
          <w:rFonts w:ascii="Times New Roman" w:hAnsi="Times New Roman" w:cs="Times New Roman"/>
          <w:sz w:val="24"/>
          <w:szCs w:val="24"/>
        </w:rPr>
        <w:t>severity. The aggregate Schedule Performance Index of 0.97 — indicating the project is advancing at approximately 97% of the planned velocity — presents a misleadingly moderate picture that the workgroup-level disaggregation contradicts sharply. Aramali et</w:t>
      </w:r>
      <w:r w:rsidRPr="00E9426A">
        <w:rPr>
          <w:rFonts w:ascii="Times New Roman" w:hAnsi="Times New Roman" w:cs="Times New Roman"/>
          <w:sz w:val="24"/>
          <w:szCs w:val="24"/>
        </w:rPr>
        <w:t xml:space="preserve"> al. (2022) warned that aggregate EVM indices are particularly prone to masking localized performance crises in multi-workgroup projects because high-performing teams can numerically offset the underperformance of distressed workgroups, creating an illusio</w:t>
      </w:r>
      <w:r w:rsidRPr="00E9426A">
        <w:rPr>
          <w:rFonts w:ascii="Times New Roman" w:hAnsi="Times New Roman" w:cs="Times New Roman"/>
          <w:sz w:val="24"/>
          <w:szCs w:val="24"/>
        </w:rPr>
        <w:t>n of project health that delays corrective intervention. This project exemplifies that dynamic precisely: the Utilities workgroup's favorable CPI and the Payment Processing team's artificially inflated SPI collectively moderate the aggregate indices to a d</w:t>
      </w:r>
      <w:r w:rsidRPr="00E9426A">
        <w:rPr>
          <w:rFonts w:ascii="Times New Roman" w:hAnsi="Times New Roman" w:cs="Times New Roman"/>
          <w:sz w:val="24"/>
          <w:szCs w:val="24"/>
        </w:rPr>
        <w:t>egree that would permit a surface-level reading to conclude the project is performing near plan.</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aggregate Cost Performance Index of 0.94 confirms the project is consuming approximately $1.06 for each dollar of budgeted work produced, generating a cumu</w:t>
      </w:r>
      <w:r w:rsidRPr="00E9426A">
        <w:rPr>
          <w:rFonts w:ascii="Times New Roman" w:hAnsi="Times New Roman" w:cs="Times New Roman"/>
          <w:sz w:val="24"/>
          <w:szCs w:val="24"/>
        </w:rPr>
        <w:t>lative cost variance of ($1,425.16) through day 16. Setyopurnomo et al. (2025) argued that a project-level CPI below 0.95 at the 20–25% completion mark is a statistically reliable leading indicator of final cost overrun, as cost efficiency trends establish</w:t>
      </w:r>
      <w:r w:rsidRPr="00E9426A">
        <w:rPr>
          <w:rFonts w:ascii="Times New Roman" w:hAnsi="Times New Roman" w:cs="Times New Roman"/>
          <w:sz w:val="24"/>
          <w:szCs w:val="24"/>
        </w:rPr>
        <w:t>ed in the early phase of a project tend to persist or worsen in the absence of structural corrective action — a finding directly applicable to this project's trajectory.</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System Requirements team (Maya Johnson) presents a CPI of 0.91 and an SPI of 0.84,</w:t>
      </w:r>
      <w:r w:rsidRPr="00E9426A">
        <w:rPr>
          <w:rFonts w:ascii="Times New Roman" w:hAnsi="Times New Roman" w:cs="Times New Roman"/>
          <w:sz w:val="24"/>
          <w:szCs w:val="24"/>
        </w:rPr>
        <w:t xml:space="preserve"> reflecting simultaneous cost and schedule underperformance. The cost overrun is traceable primarily to the Billing Department User Interviews task, which consumed 32 actual hours against a 24-hour budget — a 33% overrun on a foundational requirements-gath</w:t>
      </w:r>
      <w:r w:rsidRPr="00E9426A">
        <w:rPr>
          <w:rFonts w:ascii="Times New Roman" w:hAnsi="Times New Roman" w:cs="Times New Roman"/>
          <w:sz w:val="24"/>
          <w:szCs w:val="24"/>
        </w:rPr>
        <w:t xml:space="preserve">ering activity. The schedule underperformance is attributable to the unresolved citizen activation strategy decision, which has held the Establish Implementation Plan task (1.5) at 0% completion despite the team having consumed 67.13% of its total planned </w:t>
      </w:r>
      <w:r w:rsidRPr="00E9426A">
        <w:rPr>
          <w:rFonts w:ascii="Times New Roman" w:hAnsi="Times New Roman" w:cs="Times New Roman"/>
          <w:sz w:val="24"/>
          <w:szCs w:val="24"/>
        </w:rPr>
        <w:t>effort. This dependency bottleneck has direct downstream implications for the Establish Merchant Accounts task (5.3), which lists Task 1.5 as a mandatory predecessor and sits on the critical path.</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The Code Enforcement workgroup (Alex Patel) exhibits the mo</w:t>
      </w:r>
      <w:r w:rsidRPr="00E9426A">
        <w:rPr>
          <w:rFonts w:ascii="Times New Roman" w:hAnsi="Times New Roman" w:cs="Times New Roman"/>
          <w:sz w:val="24"/>
          <w:szCs w:val="24"/>
        </w:rPr>
        <w:t>st acute schedule underperformance in the project, with an SPI of 0.72 — representing a 28% deficit relative to plan. Zero software development tasks have commenced as of day 16, despite the workgroup having consumed 90 hours ($4,500) on GIS system integra</w:t>
      </w:r>
      <w:r w:rsidRPr="00E9426A">
        <w:rPr>
          <w:rFonts w:ascii="Times New Roman" w:hAnsi="Times New Roman" w:cs="Times New Roman"/>
          <w:sz w:val="24"/>
          <w:szCs w:val="24"/>
        </w:rPr>
        <w:t>tion and mobile device procurement. The Customization of Ticketing Module (Task 3.3, 12 days), which has not begun, is the predecessor to the 15-day Hiring and Training task (3.5) and subsequently to the Payment Processing Integration milestone (5.2). At t</w:t>
      </w:r>
      <w:r w:rsidRPr="00E9426A">
        <w:rPr>
          <w:rFonts w:ascii="Times New Roman" w:hAnsi="Times New Roman" w:cs="Times New Roman"/>
          <w:sz w:val="24"/>
          <w:szCs w:val="24"/>
        </w:rPr>
        <w:t>he current SPI, Code Enforcement is projected to require 52 total working days, with an estimated completion date of May 25, 2026 — compressing the available window for Payment Processing integration from the originally planned ten weeks to approximately f</w:t>
      </w:r>
      <w:r w:rsidRPr="00E9426A">
        <w:rPr>
          <w:rFonts w:ascii="Times New Roman" w:hAnsi="Times New Roman" w:cs="Times New Roman"/>
          <w:sz w:val="24"/>
          <w:szCs w:val="24"/>
        </w:rPr>
        <w:t>ive weeks.</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Public Housing workgroup (Jack Martin) records the lowest SPI in the project at 0.66, yet paradoxically maintains a favorable CPI of 1.02. This inversion — efficient cost performance paired with severe schedule underperformance — indicates t</w:t>
      </w:r>
      <w:r w:rsidRPr="00E9426A">
        <w:rPr>
          <w:rFonts w:ascii="Times New Roman" w:hAnsi="Times New Roman" w:cs="Times New Roman"/>
          <w:sz w:val="24"/>
          <w:szCs w:val="24"/>
        </w:rPr>
        <w:t>hat the team is delivering work at below-budget cost rates but is not converting those hours into the volume of completed tasks the schedule demands. With a 25.81% overall completion rate and four of five tasks still in progress, Public Housing is projecte</w:t>
      </w:r>
      <w:r w:rsidRPr="00E9426A">
        <w:rPr>
          <w:rFonts w:ascii="Times New Roman" w:hAnsi="Times New Roman" w:cs="Times New Roman"/>
          <w:sz w:val="24"/>
          <w:szCs w:val="24"/>
        </w:rPr>
        <w:t>d to be completed on April 15, 2026. Critically, Public Housing completion is a mandatory predecessor to the Ad Hoc Service Billing Development task (5.1), which carries the longest duration in the Payment Processing workgroup at 22 days; schedule slippage</w:t>
      </w:r>
      <w:r w:rsidRPr="00E9426A">
        <w:rPr>
          <w:rFonts w:ascii="Times New Roman" w:hAnsi="Times New Roman" w:cs="Times New Roman"/>
          <w:sz w:val="24"/>
          <w:szCs w:val="24"/>
        </w:rPr>
        <w:t xml:space="preserve"> in Public Housing therefore propagates with amplified effect into the critical path.</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Utilities workgroup (Fatima Kalani) presents a marginally favorable CPI (1.03) but a concerning SPI (0.89). While the projected completion date of April 20, 2026, ret</w:t>
      </w:r>
      <w:r w:rsidRPr="00E9426A">
        <w:rPr>
          <w:rFonts w:ascii="Times New Roman" w:hAnsi="Times New Roman" w:cs="Times New Roman"/>
          <w:sz w:val="24"/>
          <w:szCs w:val="24"/>
        </w:rPr>
        <w:t>ains an adequate buffer before the Integration with Billing Systems task (5.2) is scheduled to begin on May 1, 2026, any further SPI erosion below 0.89 would eliminate that buffer. The workgroup's two most labor-intensive remaining tasks — the Customizatio</w:t>
      </w:r>
      <w:r w:rsidRPr="00E9426A">
        <w:rPr>
          <w:rFonts w:ascii="Times New Roman" w:hAnsi="Times New Roman" w:cs="Times New Roman"/>
          <w:sz w:val="24"/>
          <w:szCs w:val="24"/>
        </w:rPr>
        <w:t>n of Utility Module (13 days, 208 hours budgeted) and Integration with Water Meter System (5 days) — have barely commenced, representing the bulk of the workgroup's remaining effort.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The Payment Processing workgroup (Mateo Costa) presents the most </w:t>
      </w:r>
      <w:r w:rsidRPr="00E9426A">
        <w:rPr>
          <w:rFonts w:ascii="Times New Roman" w:hAnsi="Times New Roman" w:cs="Times New Roman"/>
          <w:sz w:val="24"/>
          <w:szCs w:val="24"/>
        </w:rPr>
        <w:t>analytically complex and consequential performance profile in the project. Its SPI of 1.91 is statistically inflated by the disproportionately low planned value ($1,200) attributable to this workgroup through day 16, a reflection of the fact that Payment P</w:t>
      </w:r>
      <w:r w:rsidRPr="00E9426A">
        <w:rPr>
          <w:rFonts w:ascii="Times New Roman" w:hAnsi="Times New Roman" w:cs="Times New Roman"/>
          <w:sz w:val="24"/>
          <w:szCs w:val="24"/>
        </w:rPr>
        <w:t xml:space="preserve">rocessing was not scheduled to commence substantive work </w:t>
      </w:r>
      <w:r w:rsidRPr="00E9426A">
        <w:rPr>
          <w:rFonts w:ascii="Times New Roman" w:hAnsi="Times New Roman" w:cs="Times New Roman"/>
          <w:sz w:val="24"/>
          <w:szCs w:val="24"/>
        </w:rPr>
        <w:lastRenderedPageBreak/>
        <w:t>until predecessor workgroups had delivered their outputs. The team's 13% completion of Ad Hoc Service Billing Development ahead of its predecessor dependencies inflates the SPI artifactually while si</w:t>
      </w:r>
      <w:r w:rsidRPr="00E9426A">
        <w:rPr>
          <w:rFonts w:ascii="Times New Roman" w:hAnsi="Times New Roman" w:cs="Times New Roman"/>
          <w:sz w:val="24"/>
          <w:szCs w:val="24"/>
        </w:rPr>
        <w:t>multaneously contributing to a CPI of 0.78 — the worst cost performance in the project. If this cost trajectory continues, the EAC of $42,815.67 represents a 28.96% overrun against the original budget of $33,200. More critically, the projected completion d</w:t>
      </w:r>
      <w:r w:rsidRPr="00E9426A">
        <w:rPr>
          <w:rFonts w:ascii="Times New Roman" w:hAnsi="Times New Roman" w:cs="Times New Roman"/>
          <w:sz w:val="24"/>
          <w:szCs w:val="24"/>
        </w:rPr>
        <w:t>ate of July 10, 2026, places Payment Processing ten days beyond the fiscal-year deadline of June 30, 2026 — constituting the single most consequential risk to project success identified through the EVA.</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In synthesis, the earned value analysis confirms that</w:t>
      </w:r>
      <w:r w:rsidRPr="00E9426A">
        <w:rPr>
          <w:rFonts w:ascii="Times New Roman" w:hAnsi="Times New Roman" w:cs="Times New Roman"/>
          <w:sz w:val="24"/>
          <w:szCs w:val="24"/>
        </w:rPr>
        <w:t xml:space="preserve"> the project requires structured, prioritized intervention across multiple workgroups. The project manager must establish tighter task-level tracking, address the predecessor dependency chain linking Public Housing and Utilities to the Payment Processing c</w:t>
      </w:r>
      <w:r w:rsidRPr="00E9426A">
        <w:rPr>
          <w:rFonts w:ascii="Times New Roman" w:hAnsi="Times New Roman" w:cs="Times New Roman"/>
          <w:sz w:val="24"/>
          <w:szCs w:val="24"/>
        </w:rPr>
        <w:t>ritical path, and implement the mitigation strategies detailed in Section E to restore cost and schedule performance before the project reaches an unrecoverable state.</w:t>
      </w: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D. Burndown Chart</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D1. Burndown Chart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burndown chart tracks the aggregate number of i</w:t>
      </w:r>
      <w:r w:rsidRPr="00E9426A">
        <w:rPr>
          <w:rFonts w:ascii="Times New Roman" w:hAnsi="Times New Roman" w:cs="Times New Roman"/>
          <w:sz w:val="24"/>
          <w:szCs w:val="24"/>
        </w:rPr>
        <w:t>ncomplete tasks remaining across all five workgroups over the 62-day project timeline. The project encompasses 30 total tasks. The ideal burndown line represents a linear reduction from 30 tasks on day 0 to 0 tasks on day 62, corresponding to a uniform com</w:t>
      </w:r>
      <w:r w:rsidRPr="00E9426A">
        <w:rPr>
          <w:rFonts w:ascii="Times New Roman" w:hAnsi="Times New Roman" w:cs="Times New Roman"/>
          <w:sz w:val="24"/>
          <w:szCs w:val="24"/>
        </w:rPr>
        <w:t>pletion rate of approximately 0.484 tasks per working day. Actual task completions through day 16 are plotted against this ideal trajectory, and a projected trajectory is extrapolated from the current actual completion rate of 5 tasks in 16 days (0.3125 ta</w:t>
      </w:r>
      <w:r w:rsidRPr="00E9426A">
        <w:rPr>
          <w:rFonts w:ascii="Times New Roman" w:hAnsi="Times New Roman" w:cs="Times New Roman"/>
          <w:sz w:val="24"/>
          <w:szCs w:val="24"/>
        </w:rPr>
        <w:t>sks/day) to illustrate the schedule overrun risk if current performance is maintained.</w:t>
      </w:r>
    </w:p>
    <w:p w:rsidR="00F77925" w:rsidRPr="00E9426A" w:rsidRDefault="00F77925" w:rsidP="00E9426A">
      <w:pPr>
        <w:spacing w:before="120" w:line="360" w:lineRule="auto"/>
        <w:rPr>
          <w:rFonts w:ascii="Times New Roman" w:hAnsi="Times New Roman" w:cs="Times New Roman"/>
          <w:sz w:val="24"/>
          <w:szCs w:val="24"/>
        </w:rPr>
      </w:pPr>
    </w:p>
    <w:tbl>
      <w:tblPr>
        <w:tblStyle w:val="TableGrid"/>
        <w:tblW w:w="9360" w:type="dxa"/>
        <w:tblLook w:val="0000" w:firstRow="0" w:lastRow="0" w:firstColumn="0" w:lastColumn="0" w:noHBand="0" w:noVBand="0"/>
      </w:tblPr>
      <w:tblGrid>
        <w:gridCol w:w="2400"/>
        <w:gridCol w:w="2400"/>
        <w:gridCol w:w="2400"/>
        <w:gridCol w:w="2160"/>
      </w:tblGrid>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Working Day / Milestone</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Planned Tasks Remaining</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Actual Tasks Remaining</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b/>
                <w:bCs/>
                <w:sz w:val="24"/>
                <w:szCs w:val="24"/>
              </w:rPr>
              <w:t>Notes</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0 (Project Start)</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30</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30</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Baseline — all 30 tasks outstanding</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5 (End of Week 1)</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27</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29</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Task 1.1 complete; actual 2 tasks behind ideal</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lastRenderedPageBreak/>
              <w:t>Day 8</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25</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28</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Task 1.2 complete</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10</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23</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27</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Task 1.3 complete</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15</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19</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26</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Task 2.1 complete</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16 (Current)</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18</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25</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Task 4.1 complete; actual 7 tasks behind ideal</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25 (Projected)</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12</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 xml:space="preserve">Projected — </w:t>
            </w:r>
            <w:r w:rsidRPr="00E9426A">
              <w:rPr>
                <w:rFonts w:ascii="Times New Roman" w:hAnsi="Times New Roman" w:cs="Times New Roman"/>
                <w:sz w:val="24"/>
                <w:szCs w:val="24"/>
              </w:rPr>
              <w:t>continuation of current rate (0.3125 tasks/day)</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40 (Projected)</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7</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Projected</w:t>
            </w:r>
          </w:p>
        </w:tc>
      </w:tr>
      <w:tr w:rsidR="00141983" w:rsidRPr="00E9426A" w:rsidTr="00273864">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Day 62 (Planned End Date)</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0</w:t>
            </w:r>
          </w:p>
        </w:tc>
        <w:tc>
          <w:tcPr>
            <w:tcW w:w="240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w:t>
            </w:r>
          </w:p>
        </w:tc>
        <w:tc>
          <w:tcPr>
            <w:tcW w:w="2160" w:type="dxa"/>
          </w:tcPr>
          <w:p w:rsidR="00F77925" w:rsidRPr="00E9426A" w:rsidRDefault="000A5138" w:rsidP="00E9426A">
            <w:pPr>
              <w:spacing w:line="360" w:lineRule="auto"/>
              <w:rPr>
                <w:rFonts w:ascii="Times New Roman" w:hAnsi="Times New Roman" w:cs="Times New Roman"/>
                <w:sz w:val="24"/>
                <w:szCs w:val="24"/>
              </w:rPr>
            </w:pPr>
            <w:r w:rsidRPr="00E9426A">
              <w:rPr>
                <w:rFonts w:ascii="Times New Roman" w:hAnsi="Times New Roman" w:cs="Times New Roman"/>
                <w:sz w:val="24"/>
                <w:szCs w:val="24"/>
              </w:rPr>
              <w:t>Target: all 30 tasks complete by June 12, 2026</w:t>
            </w:r>
          </w:p>
        </w:tc>
      </w:tr>
    </w:tbl>
    <w:p w:rsidR="00F77925" w:rsidRPr="00E9426A" w:rsidRDefault="00F77925" w:rsidP="00E9426A">
      <w:pPr>
        <w:spacing w:before="80" w:after="80" w:line="360" w:lineRule="auto"/>
        <w:rPr>
          <w:rFonts w:ascii="Times New Roman" w:hAnsi="Times New Roman" w:cs="Times New Roman"/>
          <w:sz w:val="24"/>
          <w:szCs w:val="24"/>
        </w:rPr>
      </w:pPr>
    </w:p>
    <w:p w:rsidR="00F77925" w:rsidRPr="00E9426A" w:rsidRDefault="000A5138" w:rsidP="00E9426A">
      <w:pPr>
        <w:spacing w:before="40" w:after="80" w:line="360" w:lineRule="auto"/>
        <w:rPr>
          <w:rFonts w:ascii="Times New Roman" w:hAnsi="Times New Roman" w:cs="Times New Roman"/>
          <w:sz w:val="24"/>
          <w:szCs w:val="24"/>
        </w:rPr>
      </w:pPr>
      <w:r w:rsidRPr="00E9426A">
        <w:rPr>
          <w:rFonts w:ascii="Times New Roman" w:hAnsi="Times New Roman" w:cs="Times New Roman"/>
          <w:i/>
          <w:iCs/>
          <w:sz w:val="24"/>
          <w:szCs w:val="24"/>
        </w:rPr>
        <w:t>[</w:t>
      </w:r>
      <w:r w:rsidR="00273864" w:rsidRPr="00E9426A">
        <w:rPr>
          <w:rFonts w:ascii="Times New Roman" w:hAnsi="Times New Roman" w:cs="Times New Roman"/>
          <w:i/>
          <w:iCs/>
          <w:noProof/>
          <w:sz w:val="24"/>
          <w:szCs w:val="24"/>
        </w:rPr>
        <w:drawing>
          <wp:inline distT="0" distB="0" distL="0" distR="0">
            <wp:extent cx="5810250" cy="3164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810250" cy="3164205"/>
                    </a:xfrm>
                    <a:prstGeom prst="rect">
                      <a:avLst/>
                    </a:prstGeom>
                    <a:noFill/>
                  </pic:spPr>
                </pic:pic>
              </a:graphicData>
            </a:graphic>
          </wp:inline>
        </w:drawing>
      </w:r>
    </w:p>
    <w:p w:rsidR="00F77925" w:rsidRPr="00E9426A" w:rsidRDefault="000A5138" w:rsidP="00E9426A">
      <w:pPr>
        <w:spacing w:after="200" w:line="360" w:lineRule="auto"/>
        <w:rPr>
          <w:rFonts w:ascii="Times New Roman" w:hAnsi="Times New Roman" w:cs="Times New Roman"/>
          <w:sz w:val="24"/>
          <w:szCs w:val="24"/>
        </w:rPr>
      </w:pPr>
      <w:r w:rsidRPr="00E9426A">
        <w:rPr>
          <w:rFonts w:ascii="Times New Roman" w:hAnsi="Times New Roman" w:cs="Times New Roman"/>
          <w:i/>
          <w:iCs/>
          <w:sz w:val="24"/>
          <w:szCs w:val="24"/>
        </w:rPr>
        <w:t>Figure 2. Merrilton</w:t>
      </w:r>
      <w:r w:rsidRPr="00E9426A">
        <w:rPr>
          <w:rFonts w:ascii="Times New Roman" w:hAnsi="Times New Roman" w:cs="Times New Roman"/>
          <w:i/>
          <w:iCs/>
          <w:sz w:val="24"/>
          <w:szCs w:val="24"/>
        </w:rPr>
        <w:t xml:space="preserve"> Mobile Payment Portal — Project Burndown Chart (Status: End of Working Day 16). The dashed blue line represents the ideal linear burndown trajectory; the solid red line plots actual task completions through day 16; the dotted orange line projects the cont</w:t>
      </w:r>
      <w:r w:rsidRPr="00E9426A">
        <w:rPr>
          <w:rFonts w:ascii="Times New Roman" w:hAnsi="Times New Roman" w:cs="Times New Roman"/>
          <w:i/>
          <w:iCs/>
          <w:sz w:val="24"/>
          <w:szCs w:val="24"/>
        </w:rPr>
        <w:t xml:space="preserve">inuation of </w:t>
      </w:r>
      <w:r w:rsidRPr="00E9426A">
        <w:rPr>
          <w:rFonts w:ascii="Times New Roman" w:hAnsi="Times New Roman" w:cs="Times New Roman"/>
          <w:i/>
          <w:iCs/>
          <w:sz w:val="24"/>
          <w:szCs w:val="24"/>
        </w:rPr>
        <w:lastRenderedPageBreak/>
        <w:t>the current completion rate, demonstrating the schedule overrun risk if no corrective intervention is implemented.</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D2. Discussion of Burndown Chart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A surface-level reading of the burndown chart at day 16 indicates an apparent gap of seven tasks</w:t>
      </w:r>
      <w:r w:rsidRPr="00E9426A">
        <w:rPr>
          <w:rFonts w:ascii="Times New Roman" w:hAnsi="Times New Roman" w:cs="Times New Roman"/>
          <w:sz w:val="24"/>
          <w:szCs w:val="24"/>
        </w:rPr>
        <w:t xml:space="preserve"> between the actual line (25 tasks remaining) and the ideal line (18 tasks remaining), representing a 23.3% deviation relative to planned progress at this stage of the project. While this deviation does not constitute an acute crisis, the projected traject</w:t>
      </w:r>
      <w:r w:rsidRPr="00E9426A">
        <w:rPr>
          <w:rFonts w:ascii="Times New Roman" w:hAnsi="Times New Roman" w:cs="Times New Roman"/>
          <w:sz w:val="24"/>
          <w:szCs w:val="24"/>
        </w:rPr>
        <w:t>ory — derived by extrapolating the current average completion rate of 0.3125 tasks per working day — reveals a materially more alarming outcome: at this rate, the project will not complete all 30 tasks until approximately day 96, representing a 34-day over</w:t>
      </w:r>
      <w:r w:rsidRPr="00E9426A">
        <w:rPr>
          <w:rFonts w:ascii="Times New Roman" w:hAnsi="Times New Roman" w:cs="Times New Roman"/>
          <w:sz w:val="24"/>
          <w:szCs w:val="24"/>
        </w:rPr>
        <w:t>run beyond the planned completion date of June 12, 2026 and a 46-day breach of the June 30 fiscal-year deadline.</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burndown chart's most significant diagnostic value lies not in the aggregate deviation from the ideal line, but in what the task completion</w:t>
      </w:r>
      <w:r w:rsidRPr="00E9426A">
        <w:rPr>
          <w:rFonts w:ascii="Times New Roman" w:hAnsi="Times New Roman" w:cs="Times New Roman"/>
          <w:sz w:val="24"/>
          <w:szCs w:val="24"/>
        </w:rPr>
        <w:t xml:space="preserve"> pattern reveals about workgroup-level performance dynamics. The five tasks completed through day 16 were drawn exclusively from three workgroups — System Requirements (Tasks 1.1, 1.2, 1.3), Utilities (Task 2.1), and Public Housing (Task 4.1) — while Code </w:t>
      </w:r>
      <w:r w:rsidRPr="00E9426A">
        <w:rPr>
          <w:rFonts w:ascii="Times New Roman" w:hAnsi="Times New Roman" w:cs="Times New Roman"/>
          <w:sz w:val="24"/>
          <w:szCs w:val="24"/>
        </w:rPr>
        <w:t>Enforcement and Payment Processing reported zero completed tasks. As the project transitions into its development and integration phase, the burndown rate will be determined almost entirely by the performance of these underperforming workgroups.</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Of the 25 </w:t>
      </w:r>
      <w:r w:rsidRPr="00E9426A">
        <w:rPr>
          <w:rFonts w:ascii="Times New Roman" w:hAnsi="Times New Roman" w:cs="Times New Roman"/>
          <w:sz w:val="24"/>
          <w:szCs w:val="24"/>
        </w:rPr>
        <w:t>tasks remaining at day 16, the five largest by duration are: Ad Hoc Service Billing Development (22 days, Payment Processing), Maintenance Request Log Development (20 days, Public Housing), Customization of Property Module (18 days, Public Housing), Custom</w:t>
      </w:r>
      <w:r w:rsidRPr="00E9426A">
        <w:rPr>
          <w:rFonts w:ascii="Times New Roman" w:hAnsi="Times New Roman" w:cs="Times New Roman"/>
          <w:sz w:val="24"/>
          <w:szCs w:val="24"/>
        </w:rPr>
        <w:t>ization of Utility Module (13 days, Utilities), and Customization of Ticketing Module (12 days, Code Enforcement). These five tasks collectively represent 85 planned working days — approximately 38% of the total project labor budget —, and several are unst</w:t>
      </w:r>
      <w:r w:rsidRPr="00E9426A">
        <w:rPr>
          <w:rFonts w:ascii="Times New Roman" w:hAnsi="Times New Roman" w:cs="Times New Roman"/>
          <w:sz w:val="24"/>
          <w:szCs w:val="24"/>
        </w:rPr>
        <w:t>arted or barely commenced. The burndown chart also exposes a structural timing risk arising from predecessor dependency architecture: Payment Processing cannot advance its integration tasks until Utilities, Code Enforcement, and Public Housing have each de</w:t>
      </w:r>
      <w:r w:rsidRPr="00E9426A">
        <w:rPr>
          <w:rFonts w:ascii="Times New Roman" w:hAnsi="Times New Roman" w:cs="Times New Roman"/>
          <w:sz w:val="24"/>
          <w:szCs w:val="24"/>
        </w:rPr>
        <w:t xml:space="preserve">livered their respective final testing milestones. The project manager should establish a formal early-warning threshold: if the burndown line </w:t>
      </w:r>
      <w:r w:rsidRPr="00E9426A">
        <w:rPr>
          <w:rFonts w:ascii="Times New Roman" w:hAnsi="Times New Roman" w:cs="Times New Roman"/>
          <w:sz w:val="24"/>
          <w:szCs w:val="24"/>
        </w:rPr>
        <w:lastRenderedPageBreak/>
        <w:t xml:space="preserve">falls more than 10% below the ideal trajectory at any weekly status checkpoint, an escalation protocol should be </w:t>
      </w:r>
      <w:r w:rsidRPr="00E9426A">
        <w:rPr>
          <w:rFonts w:ascii="Times New Roman" w:hAnsi="Times New Roman" w:cs="Times New Roman"/>
          <w:sz w:val="24"/>
          <w:szCs w:val="24"/>
        </w:rPr>
        <w:t>triggered immediately.</w:t>
      </w: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E. Mitigation Plan</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following three mitigation strategies represent the highest-priority corrective interventions available to the project manager of the Merrilton Mobile Payment Portal. Each strategy is grounded in the specific p</w:t>
      </w:r>
      <w:r w:rsidRPr="00E9426A">
        <w:rPr>
          <w:rFonts w:ascii="Times New Roman" w:hAnsi="Times New Roman" w:cs="Times New Roman"/>
          <w:sz w:val="24"/>
          <w:szCs w:val="24"/>
        </w:rPr>
        <w:t>erformance deficiencies identified through the earned value analysis and burndown chart review. Song et al. (2025) established through empirical analysis of project risk interventions that the effectiveness of mitigation strategies is maximized when they a</w:t>
      </w:r>
      <w:r w:rsidRPr="00E9426A">
        <w:rPr>
          <w:rFonts w:ascii="Times New Roman" w:hAnsi="Times New Roman" w:cs="Times New Roman"/>
          <w:sz w:val="24"/>
          <w:szCs w:val="24"/>
        </w:rPr>
        <w:t>re directly linked to identified root causes, assigned to accountable owners, and accompanied by quantifiable outcome targets — criteria that each strategy below is designed to satisfy. The strategies are presented in order of projected impact on the proje</w:t>
      </w:r>
      <w:r w:rsidRPr="00E9426A">
        <w:rPr>
          <w:rFonts w:ascii="Times New Roman" w:hAnsi="Times New Roman" w:cs="Times New Roman"/>
          <w:sz w:val="24"/>
          <w:szCs w:val="24"/>
        </w:rPr>
        <w:t>ct's ability to meet its June 30, 2026, fiscal-year deadline.</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Mitigation Strategy 1: Scope Freeze and Immediate Redirection of the Payment Processing Workgroup</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The earned value analysis identifies the Payment Processing workgroup as the most severe and </w:t>
      </w:r>
      <w:r w:rsidRPr="00E9426A">
        <w:rPr>
          <w:rFonts w:ascii="Times New Roman" w:hAnsi="Times New Roman" w:cs="Times New Roman"/>
          <w:sz w:val="24"/>
          <w:szCs w:val="24"/>
        </w:rPr>
        <w:t xml:space="preserve">consequential source of both cost overrun and deadline risk within the project. With a CPI of 0.78 and a projected EAC of $42,815.67 — representing a $9,615.67 overrun against the original budget of $33,200 — the workgroup is consuming resources at a rate </w:t>
      </w:r>
      <w:r w:rsidRPr="00E9426A">
        <w:rPr>
          <w:rFonts w:ascii="Times New Roman" w:hAnsi="Times New Roman" w:cs="Times New Roman"/>
          <w:sz w:val="24"/>
          <w:szCs w:val="24"/>
        </w:rPr>
        <w:t>that, if sustained, will exhaust its budget allocation before completing the integration, gateway setup, and training tasks that constitute the project's final critical-path deliverables. The projected completion date of July 10, 2026, breaches the fiscal-</w:t>
      </w:r>
      <w:r w:rsidRPr="00E9426A">
        <w:rPr>
          <w:rFonts w:ascii="Times New Roman" w:hAnsi="Times New Roman" w:cs="Times New Roman"/>
          <w:sz w:val="24"/>
          <w:szCs w:val="24"/>
        </w:rPr>
        <w:t>year deadline by ten days, risking the expiration of the technology grant while the system remains non-operational.</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Analysis of the team lead's status report identifies the primary driver of the cost overrun: the unauthorized expenditure of 59 hours ($2,95</w:t>
      </w:r>
      <w:r w:rsidRPr="00E9426A">
        <w:rPr>
          <w:rFonts w:ascii="Times New Roman" w:hAnsi="Times New Roman" w:cs="Times New Roman"/>
          <w:sz w:val="24"/>
          <w:szCs w:val="24"/>
        </w:rPr>
        <w:t xml:space="preserve">0) on exploratory research into third-party payment API integrations — specifically platforms such as Autojor and Sparkit — that were never included in the approved project charter. This work was initiated in response to a verbal mayoral commitment during </w:t>
      </w:r>
      <w:r w:rsidRPr="00E9426A">
        <w:rPr>
          <w:rFonts w:ascii="Times New Roman" w:hAnsi="Times New Roman" w:cs="Times New Roman"/>
          <w:sz w:val="24"/>
          <w:szCs w:val="24"/>
        </w:rPr>
        <w:t>a community council session, without the formal scope change authorization process prescribed by PMI (2021). Alotibe (2024) characterizes scope creep of this nature — where stakeholder-driven feature requests translate into unbounded labor expenditure abse</w:t>
      </w:r>
      <w:r w:rsidRPr="00E9426A">
        <w:rPr>
          <w:rFonts w:ascii="Times New Roman" w:hAnsi="Times New Roman" w:cs="Times New Roman"/>
          <w:sz w:val="24"/>
          <w:szCs w:val="24"/>
        </w:rPr>
        <w:t xml:space="preserve">nt </w:t>
      </w:r>
      <w:r w:rsidRPr="00E9426A">
        <w:rPr>
          <w:rFonts w:ascii="Times New Roman" w:hAnsi="Times New Roman" w:cs="Times New Roman"/>
          <w:sz w:val="24"/>
          <w:szCs w:val="24"/>
        </w:rPr>
        <w:lastRenderedPageBreak/>
        <w:t>formal change governance — as one of the most common and preventable sources of project cost and schedule failure, noting that the absence of a formal change register and scope freeze mechanism creates conditions in which individual team members lack th</w:t>
      </w:r>
      <w:r w:rsidRPr="00E9426A">
        <w:rPr>
          <w:rFonts w:ascii="Times New Roman" w:hAnsi="Times New Roman" w:cs="Times New Roman"/>
          <w:sz w:val="24"/>
          <w:szCs w:val="24"/>
        </w:rPr>
        <w:t>e organizational support needed to decline or defer out-of-scope requests.</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technical merit of the stakeholder request itself does not diminish the urgency of the scope control intervention. Research into digital payment ecosystem integration confirms t</w:t>
      </w:r>
      <w:r w:rsidRPr="00E9426A">
        <w:rPr>
          <w:rFonts w:ascii="Times New Roman" w:hAnsi="Times New Roman" w:cs="Times New Roman"/>
          <w:sz w:val="24"/>
          <w:szCs w:val="24"/>
        </w:rPr>
        <w:t xml:space="preserve">hat peer-to-peer and third-party payment platforms can materially improve adoption rates and user convenience in public-facing municipal portals (Sai &amp; Banda, 2024). However, the integration of such platforms introduces cryptographic complexity, multi-hop </w:t>
      </w:r>
      <w:r w:rsidRPr="00E9426A">
        <w:rPr>
          <w:rFonts w:ascii="Times New Roman" w:hAnsi="Times New Roman" w:cs="Times New Roman"/>
          <w:sz w:val="24"/>
          <w:szCs w:val="24"/>
        </w:rPr>
        <w:t>transaction verification requirements, and payment rail liability considerations that cannot be adequately scoped, tested, or secured within the remaining project timeline (Hasan et al., 2025; Sixt, 2025). The project manager's obligation is to deliver a f</w:t>
      </w:r>
      <w:r w:rsidRPr="00E9426A">
        <w:rPr>
          <w:rFonts w:ascii="Times New Roman" w:hAnsi="Times New Roman" w:cs="Times New Roman"/>
          <w:sz w:val="24"/>
          <w:szCs w:val="24"/>
        </w:rPr>
        <w:t>unctional, fiscally compliant portal by June 30, 2026 — not to adjudicate the long-term technical merit of payment platform expansion — making the scope freeze the unambiguous correct response.</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mitigation strategy requires the project manager to implem</w:t>
      </w:r>
      <w:r w:rsidRPr="00E9426A">
        <w:rPr>
          <w:rFonts w:ascii="Times New Roman" w:hAnsi="Times New Roman" w:cs="Times New Roman"/>
          <w:sz w:val="24"/>
          <w:szCs w:val="24"/>
        </w:rPr>
        <w:t>ent a formal scope freeze for the Payment Processing workgroup with immediate effect. All team members must be redirected exclusively to the five charter-approved deliverables: Ad Hoc Service Billing Development (5.1), Integration with Billing Systems (5.2</w:t>
      </w:r>
      <w:r w:rsidRPr="00E9426A">
        <w:rPr>
          <w:rFonts w:ascii="Times New Roman" w:hAnsi="Times New Roman" w:cs="Times New Roman"/>
          <w:sz w:val="24"/>
          <w:szCs w:val="24"/>
        </w:rPr>
        <w:t>), Establishment of Merchant Accounts (5.3), EFT Gateway Setup (5.4), and Training of Billing Specialists (5.5). The alternative payment platform request must be formally entered into the project change register and deferred to a formally scoped Phase 2 po</w:t>
      </w:r>
      <w:r w:rsidRPr="00E9426A">
        <w:rPr>
          <w:rFonts w:ascii="Times New Roman" w:hAnsi="Times New Roman" w:cs="Times New Roman"/>
          <w:sz w:val="24"/>
          <w:szCs w:val="24"/>
        </w:rPr>
        <w:t>st-launch roadmap, with the mayor and community council briefed through a structured phased delivery plan that quantifies the schedule and budget cost of incorporating the request into the current project cycle (Alotibe, 2024).</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Projected Positive Impact on</w:t>
      </w:r>
      <w:r w:rsidRPr="00E9426A">
        <w:rPr>
          <w:rFonts w:ascii="Times New Roman" w:hAnsi="Times New Roman" w:cs="Times New Roman"/>
          <w:sz w:val="24"/>
          <w:szCs w:val="24"/>
        </w:rPr>
        <w:t xml:space="preserve"> Schedule and Budget: Eliminating unsanctioned scope expenditure and redirecting the team to critical-path work is projected to improve the Payment Processing CPI from 0.78 toward a range of 0.88–0.92 within two weeks. This improvement is estimated to redu</w:t>
      </w:r>
      <w:r w:rsidRPr="00E9426A">
        <w:rPr>
          <w:rFonts w:ascii="Times New Roman" w:hAnsi="Times New Roman" w:cs="Times New Roman"/>
          <w:sz w:val="24"/>
          <w:szCs w:val="24"/>
        </w:rPr>
        <w:t>ce the EAC by $5,000–$8,000. If the team achieves an SPI of 1.0 or above on the remaining tasks, the projected completion date can be recovered from July 10 to approximately June 26–28, 2026, restoring fiscal-year compliance.</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lastRenderedPageBreak/>
        <w:t>Mitigation Strategy 2: Operati</w:t>
      </w:r>
      <w:r w:rsidRPr="00E9426A">
        <w:rPr>
          <w:rFonts w:ascii="Times New Roman" w:hAnsi="Times New Roman" w:cs="Times New Roman"/>
          <w:color w:val="auto"/>
        </w:rPr>
        <w:t>onal Redeployment to Restore Development Velocity in Code Enforcement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The Code Enforcement workgroup's SPI of 0.72 represents a schedule performance deficit of 28% relative to plan and constitutes the most severe schedule underperformance of any workgroup </w:t>
      </w:r>
      <w:r w:rsidRPr="00E9426A">
        <w:rPr>
          <w:rFonts w:ascii="Times New Roman" w:hAnsi="Times New Roman" w:cs="Times New Roman"/>
          <w:sz w:val="24"/>
          <w:szCs w:val="24"/>
        </w:rPr>
        <w:t xml:space="preserve">in the project. With zero software development tasks initiated as of day 16 — despite the workgroup having consumed 90 hours ($4,500) of its $24,000 budget — the team finds itself at a critical inflection point: the Customization of Ticketing Module (Task </w:t>
      </w:r>
      <w:r w:rsidRPr="00E9426A">
        <w:rPr>
          <w:rFonts w:ascii="Times New Roman" w:hAnsi="Times New Roman" w:cs="Times New Roman"/>
          <w:sz w:val="24"/>
          <w:szCs w:val="24"/>
        </w:rPr>
        <w:t>3.3, 12 days) must commence immediately to avoid cascading delays into the 15-day Hiring and Training task (3.5) and, subsequently, into the Payment Processing Integration milestone (5.2). At the current SPI, Code Enforcement is projected to complete on Ma</w:t>
      </w:r>
      <w:r w:rsidRPr="00E9426A">
        <w:rPr>
          <w:rFonts w:ascii="Times New Roman" w:hAnsi="Times New Roman" w:cs="Times New Roman"/>
          <w:sz w:val="24"/>
          <w:szCs w:val="24"/>
        </w:rPr>
        <w:t>y 25, 2026, compressing the available window for Payment Processing integration from an originally planned ten-week period to approximately five weeks — a 50% reduction in available float.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root cause of the Code Enforcement schedule underperformance is</w:t>
      </w:r>
      <w:r w:rsidRPr="00E9426A">
        <w:rPr>
          <w:rFonts w:ascii="Times New Roman" w:hAnsi="Times New Roman" w:cs="Times New Roman"/>
          <w:sz w:val="24"/>
          <w:szCs w:val="24"/>
        </w:rPr>
        <w:t xml:space="preserve"> identifiable from the team lead's status report: the team's IT developer personnel have been the primary resources engaged in hardware familiarization activities — learning the operational capabilities of the mobile scanner and ticket-printing hardware pr</w:t>
      </w:r>
      <w:r w:rsidRPr="00E9426A">
        <w:rPr>
          <w:rFonts w:ascii="Times New Roman" w:hAnsi="Times New Roman" w:cs="Times New Roman"/>
          <w:sz w:val="24"/>
          <w:szCs w:val="24"/>
        </w:rPr>
        <w:t>ocured through the technology grant. While hardware comprehension is a prerequisite for effective software customization, the current configuration misallocates specialized developer capacity to activities that can be performed more effectively by the doma</w:t>
      </w:r>
      <w:r w:rsidRPr="00E9426A">
        <w:rPr>
          <w:rFonts w:ascii="Times New Roman" w:hAnsi="Times New Roman" w:cs="Times New Roman"/>
          <w:sz w:val="24"/>
          <w:szCs w:val="24"/>
        </w:rPr>
        <w:t>in experts most qualified to evaluate operational fitness: the code enforcement field officers who will deploy the hardware in the field. Officers possess firsthand knowledge of enforcement workflows, violation documentation procedures, and ergonomic requi</w:t>
      </w:r>
      <w:r w:rsidRPr="00E9426A">
        <w:rPr>
          <w:rFonts w:ascii="Times New Roman" w:hAnsi="Times New Roman" w:cs="Times New Roman"/>
          <w:sz w:val="24"/>
          <w:szCs w:val="24"/>
        </w:rPr>
        <w:t>rements — and can conduct hardware evaluation exercises without consuming a single developer-hour. Song et al. (2025) emphasized that resource redeployment decisions of this nature — reallocating task ownership to team members whose competency profile best</w:t>
      </w:r>
      <w:r w:rsidRPr="00E9426A">
        <w:rPr>
          <w:rFonts w:ascii="Times New Roman" w:hAnsi="Times New Roman" w:cs="Times New Roman"/>
          <w:sz w:val="24"/>
          <w:szCs w:val="24"/>
        </w:rPr>
        <w:t xml:space="preserve"> matches the activity — are among the highest-leverage interventions available to a project manager seeking to restore schedule performance without incurring additional cost.</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mitigation strategy formally reassigns hardware familiarization and operation</w:t>
      </w:r>
      <w:r w:rsidRPr="00E9426A">
        <w:rPr>
          <w:rFonts w:ascii="Times New Roman" w:hAnsi="Times New Roman" w:cs="Times New Roman"/>
          <w:sz w:val="24"/>
          <w:szCs w:val="24"/>
        </w:rPr>
        <w:t>al testing responsibilities to code enforcement field officers serving in a Subject Matter Expert (SME) capacity, and immediately redirects IT developer resources to the Customization of Ticketing Module (Task 3.3). The project manager should establish a s</w:t>
      </w:r>
      <w:r w:rsidRPr="00E9426A">
        <w:rPr>
          <w:rFonts w:ascii="Times New Roman" w:hAnsi="Times New Roman" w:cs="Times New Roman"/>
          <w:sz w:val="24"/>
          <w:szCs w:val="24"/>
        </w:rPr>
        <w:t xml:space="preserve">tructured two-week sprint plan for </w:t>
      </w:r>
      <w:r w:rsidRPr="00E9426A">
        <w:rPr>
          <w:rFonts w:ascii="Times New Roman" w:hAnsi="Times New Roman" w:cs="Times New Roman"/>
          <w:sz w:val="24"/>
          <w:szCs w:val="24"/>
        </w:rPr>
        <w:lastRenderedPageBreak/>
        <w:t>Task 3.3 with defined daily milestones, supplemented by mid-week check-ins to detect schedule drift early enough for corrective action. If sprint performance through day 22 does not demonstrate an SPI recovery toward 0.90</w:t>
      </w:r>
      <w:r w:rsidRPr="00E9426A">
        <w:rPr>
          <w:rFonts w:ascii="Times New Roman" w:hAnsi="Times New Roman" w:cs="Times New Roman"/>
          <w:sz w:val="24"/>
          <w:szCs w:val="24"/>
        </w:rPr>
        <w:t xml:space="preserve"> or above, the project manager should assess whether temporary developer resource augmentation can be sourced from within the city's IT department to provide surge capacity for the completion of Task 3.3 and the subsequent Testing task (3.4).</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Projected Pos</w:t>
      </w:r>
      <w:r w:rsidRPr="00E9426A">
        <w:rPr>
          <w:rFonts w:ascii="Times New Roman" w:hAnsi="Times New Roman" w:cs="Times New Roman"/>
          <w:sz w:val="24"/>
          <w:szCs w:val="24"/>
        </w:rPr>
        <w:t>itive Impact on Schedule and Budget: Redeployment of IT developer capacity from hardware familiarization to software customization is projected to accelerate completion of Task 3.3 by an estimated 4–6 working days relative to the current trajectory, recove</w:t>
      </w:r>
      <w:r w:rsidRPr="00E9426A">
        <w:rPr>
          <w:rFonts w:ascii="Times New Roman" w:hAnsi="Times New Roman" w:cs="Times New Roman"/>
          <w:sz w:val="24"/>
          <w:szCs w:val="24"/>
        </w:rPr>
        <w:t>ring the Code Enforcement SPI from 0.72 toward a range of 0.88–0.95 within two weeks. This recovery is estimated to advance the Code Enforcement projected completion date from May 25 to approximately May 10–14, 2026, restoring 11–15 days of float in the pr</w:t>
      </w:r>
      <w:r w:rsidRPr="00E9426A">
        <w:rPr>
          <w:rFonts w:ascii="Times New Roman" w:hAnsi="Times New Roman" w:cs="Times New Roman"/>
          <w:sz w:val="24"/>
          <w:szCs w:val="24"/>
        </w:rPr>
        <w:t>edecessor dependency chain leading to the Payment Processing integration milestone.</w:t>
      </w:r>
    </w:p>
    <w:p w:rsidR="00F77925" w:rsidRPr="00E9426A" w:rsidRDefault="000A5138" w:rsidP="00E9426A">
      <w:pPr>
        <w:pStyle w:val="Heading2"/>
        <w:spacing w:line="360" w:lineRule="auto"/>
        <w:rPr>
          <w:rFonts w:ascii="Times New Roman" w:hAnsi="Times New Roman" w:cs="Times New Roman"/>
          <w:color w:val="auto"/>
        </w:rPr>
      </w:pPr>
      <w:r w:rsidRPr="00E9426A">
        <w:rPr>
          <w:rFonts w:ascii="Times New Roman" w:hAnsi="Times New Roman" w:cs="Times New Roman"/>
          <w:color w:val="auto"/>
        </w:rPr>
        <w:t>Mitigation Strategy 3: Automated Database Synchronization to Reclaim Utilities Development Capacity</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Utilities workgroup (Fatima Kalani) presents a performance profile c</w:t>
      </w:r>
      <w:r w:rsidRPr="00E9426A">
        <w:rPr>
          <w:rFonts w:ascii="Times New Roman" w:hAnsi="Times New Roman" w:cs="Times New Roman"/>
          <w:sz w:val="24"/>
          <w:szCs w:val="24"/>
        </w:rPr>
        <w:t>haracterized by adequate cost efficiency (CPI = 1.03) but insufficient schedule performance (SPI = 0.89). While the workgroup's projected completion date of April 20, 2026, does not currently threaten the Payment Processing integration milestone — schedule</w:t>
      </w:r>
      <w:r w:rsidRPr="00E9426A">
        <w:rPr>
          <w:rFonts w:ascii="Times New Roman" w:hAnsi="Times New Roman" w:cs="Times New Roman"/>
          <w:sz w:val="24"/>
          <w:szCs w:val="24"/>
        </w:rPr>
        <w:t>d to begin May 1, 2026 — the SPI of 0.89 represents a fragile buffer that can absorb limited additional erosion before the Utilities workgroup itself becomes a critical-path constraint. The challenge facing the team is not inadequate effort but a structura</w:t>
      </w:r>
      <w:r w:rsidRPr="00E9426A">
        <w:rPr>
          <w:rFonts w:ascii="Times New Roman" w:hAnsi="Times New Roman" w:cs="Times New Roman"/>
          <w:sz w:val="24"/>
          <w:szCs w:val="24"/>
        </w:rPr>
        <w:t>l inefficiency in labor allocation: a disproportionate share of team hours is being consumed by manual parallel data entry to synchronize service transaction records between the legacy billing system and the new database.</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This synchronization burden stems </w:t>
      </w:r>
      <w:r w:rsidRPr="00E9426A">
        <w:rPr>
          <w:rFonts w:ascii="Times New Roman" w:hAnsi="Times New Roman" w:cs="Times New Roman"/>
          <w:sz w:val="24"/>
          <w:szCs w:val="24"/>
        </w:rPr>
        <w:t>from the inherent data integrity requirement that service changes occurring after the database construction phase be reflected accurately in both systems to prevent discrepancies at the point of cutover. The team lead's status report identifies this concer</w:t>
      </w:r>
      <w:r w:rsidRPr="00E9426A">
        <w:rPr>
          <w:rFonts w:ascii="Times New Roman" w:hAnsi="Times New Roman" w:cs="Times New Roman"/>
          <w:sz w:val="24"/>
          <w:szCs w:val="24"/>
        </w:rPr>
        <w:t>n explicitly, noting both the absence of a formalized protocol and uncertainty regarding the monthly volume of service changes. The risk of data divergence between legacy and new systems is well-documented in enterprise system migration literature, with re</w:t>
      </w:r>
      <w:r w:rsidRPr="00E9426A">
        <w:rPr>
          <w:rFonts w:ascii="Times New Roman" w:hAnsi="Times New Roman" w:cs="Times New Roman"/>
          <w:sz w:val="24"/>
          <w:szCs w:val="24"/>
        </w:rPr>
        <w:t xml:space="preserve">searchers noting </w:t>
      </w:r>
      <w:r w:rsidRPr="00E9426A">
        <w:rPr>
          <w:rFonts w:ascii="Times New Roman" w:hAnsi="Times New Roman" w:cs="Times New Roman"/>
          <w:sz w:val="24"/>
          <w:szCs w:val="24"/>
        </w:rPr>
        <w:lastRenderedPageBreak/>
        <w:t>that unsynchronized dual-system operation periods represent among the highest-risk phases of any technology transition project (Barghi &amp; Sikari, 2020).</w:t>
      </w:r>
    </w:p>
    <w:p w:rsidR="00F77925" w:rsidRP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The mitigation strategy operates on two concurrent tracks. In the near term, the projec</w:t>
      </w:r>
      <w:r w:rsidRPr="00E9426A">
        <w:rPr>
          <w:rFonts w:ascii="Times New Roman" w:hAnsi="Times New Roman" w:cs="Times New Roman"/>
          <w:sz w:val="24"/>
          <w:szCs w:val="24"/>
        </w:rPr>
        <w:t>t manager should obtain from the city's service operations department a quantified estimate of average monthly service change volume to right-size the synchronization effort and determine whether the current manual approach is proportionate to the actual d</w:t>
      </w:r>
      <w:r w:rsidRPr="00E9426A">
        <w:rPr>
          <w:rFonts w:ascii="Times New Roman" w:hAnsi="Times New Roman" w:cs="Times New Roman"/>
          <w:sz w:val="24"/>
          <w:szCs w:val="24"/>
        </w:rPr>
        <w:t xml:space="preserve">ata volume. In the medium term, the project manager should direct the Utilities team to evaluate whether the legacy billing system supports batch data export functionality that can be leveraged to enable automated nightly or weekly synchronization through </w:t>
      </w:r>
      <w:r w:rsidRPr="00E9426A">
        <w:rPr>
          <w:rFonts w:ascii="Times New Roman" w:hAnsi="Times New Roman" w:cs="Times New Roman"/>
          <w:sz w:val="24"/>
          <w:szCs w:val="24"/>
        </w:rPr>
        <w:t>a scripted import process. Automating the synchronization workflow would eliminate the ongoing manual overhead, freeing an estimated 10–20 team-hours per remaining project week for redeployment to Tasks 2.3 and 2.4. Song et al. (2025) identified the formal</w:t>
      </w:r>
      <w:r w:rsidRPr="00E9426A">
        <w:rPr>
          <w:rFonts w:ascii="Times New Roman" w:hAnsi="Times New Roman" w:cs="Times New Roman"/>
          <w:sz w:val="24"/>
          <w:szCs w:val="24"/>
        </w:rPr>
        <w:t>ization of data governance protocols — including synchronization ownership, audit schedules, and escalation triggers — as a critical enabler of sustainable project performance in technology migration projects involving parallel system operation.</w:t>
      </w:r>
    </w:p>
    <w:p w:rsidR="00E9426A" w:rsidRDefault="000A5138" w:rsidP="00E9426A">
      <w:pPr>
        <w:spacing w:before="120" w:after="120" w:line="360" w:lineRule="auto"/>
        <w:rPr>
          <w:rFonts w:ascii="Times New Roman" w:hAnsi="Times New Roman" w:cs="Times New Roman"/>
          <w:sz w:val="24"/>
          <w:szCs w:val="24"/>
        </w:rPr>
      </w:pPr>
      <w:r w:rsidRPr="00E9426A">
        <w:rPr>
          <w:rFonts w:ascii="Times New Roman" w:hAnsi="Times New Roman" w:cs="Times New Roman"/>
          <w:sz w:val="24"/>
          <w:szCs w:val="24"/>
        </w:rPr>
        <w:t xml:space="preserve">Projected </w:t>
      </w:r>
      <w:r w:rsidRPr="00E9426A">
        <w:rPr>
          <w:rFonts w:ascii="Times New Roman" w:hAnsi="Times New Roman" w:cs="Times New Roman"/>
          <w:sz w:val="24"/>
          <w:szCs w:val="24"/>
        </w:rPr>
        <w:t>Positive Impact on Schedule and Budget: Recapturing 10–20 hours of capacity per week through synchronization automation or formalized time-boxing is projected to improve the Utilities SPI from 0.89 toward a range of 0.95–1.00 within three to four weeks, ad</w:t>
      </w:r>
      <w:r w:rsidRPr="00E9426A">
        <w:rPr>
          <w:rFonts w:ascii="Times New Roman" w:hAnsi="Times New Roman" w:cs="Times New Roman"/>
          <w:sz w:val="24"/>
          <w:szCs w:val="24"/>
        </w:rPr>
        <w:t>vancing the projected completion date from April 20 to approximately April 12–15, 2026. This earlier completion widens the buffer between Utilities' final testing (Task 2.5) and the Payment Processing Integration with Billing Systems task (5.2). The cumula</w:t>
      </w:r>
      <w:r w:rsidRPr="00E9426A">
        <w:rPr>
          <w:rFonts w:ascii="Times New Roman" w:hAnsi="Times New Roman" w:cs="Times New Roman"/>
          <w:sz w:val="24"/>
          <w:szCs w:val="24"/>
        </w:rPr>
        <w:t>tive effect of all three mitigation strategies — scope discipline in Payment Processing, redeployment in Code Enforcement, and synchronization efficiency in Utilities — is projected to restore the project's aggregate SPI from 0.97 toward 1.0 and the CPI fr</w:t>
      </w:r>
      <w:r w:rsidRPr="00E9426A">
        <w:rPr>
          <w:rFonts w:ascii="Times New Roman" w:hAnsi="Times New Roman" w:cs="Times New Roman"/>
          <w:sz w:val="24"/>
          <w:szCs w:val="24"/>
        </w:rPr>
        <w:t>om 0.94 toward 0.97, materially improving the probability that the Merrilton Mobile Payment Portal will achieve full operational readiness within the June 30, 2026 fiscal-year deadline.</w:t>
      </w:r>
    </w:p>
    <w:p w:rsidR="00E9426A" w:rsidRDefault="00E9426A">
      <w:pPr>
        <w:rPr>
          <w:rFonts w:ascii="Times New Roman" w:hAnsi="Times New Roman" w:cs="Times New Roman"/>
          <w:sz w:val="24"/>
          <w:szCs w:val="24"/>
        </w:rPr>
      </w:pPr>
      <w:r>
        <w:rPr>
          <w:rFonts w:ascii="Times New Roman" w:hAnsi="Times New Roman" w:cs="Times New Roman"/>
          <w:sz w:val="24"/>
          <w:szCs w:val="24"/>
        </w:rPr>
        <w:br w:type="page"/>
      </w:r>
      <w:bookmarkStart w:id="0" w:name="_GoBack"/>
      <w:bookmarkEnd w:id="0"/>
    </w:p>
    <w:p w:rsidR="00F77925" w:rsidRPr="00E9426A" w:rsidRDefault="00F77925" w:rsidP="00E9426A">
      <w:pPr>
        <w:spacing w:before="120" w:after="120" w:line="360" w:lineRule="auto"/>
        <w:rPr>
          <w:rFonts w:ascii="Times New Roman" w:hAnsi="Times New Roman" w:cs="Times New Roman"/>
          <w:sz w:val="24"/>
          <w:szCs w:val="24"/>
        </w:rPr>
      </w:pPr>
    </w:p>
    <w:p w:rsidR="00F77925" w:rsidRPr="00E9426A" w:rsidRDefault="000A5138" w:rsidP="00E9426A">
      <w:pPr>
        <w:pStyle w:val="Heading1"/>
        <w:spacing w:line="360" w:lineRule="auto"/>
        <w:rPr>
          <w:rFonts w:ascii="Times New Roman" w:hAnsi="Times New Roman" w:cs="Times New Roman"/>
          <w:color w:val="auto"/>
          <w:sz w:val="24"/>
          <w:szCs w:val="24"/>
        </w:rPr>
      </w:pPr>
      <w:r w:rsidRPr="00E9426A">
        <w:rPr>
          <w:rFonts w:ascii="Times New Roman" w:hAnsi="Times New Roman" w:cs="Times New Roman"/>
          <w:color w:val="auto"/>
          <w:sz w:val="24"/>
          <w:szCs w:val="24"/>
        </w:rPr>
        <w:t>F. References</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Acebes, F., González-Varona, J. M., López-Paredes, A., &amp;</w:t>
      </w:r>
      <w:r w:rsidRPr="00E9426A">
        <w:rPr>
          <w:rFonts w:ascii="Times New Roman" w:hAnsi="Times New Roman" w:cs="Times New Roman"/>
          <w:sz w:val="24"/>
          <w:szCs w:val="24"/>
        </w:rPr>
        <w:t xml:space="preserve"> Pajares, J. (2024). Beyond probability-impact matrices in project risk management: A quantitative methodology for risk prioritization. </w:t>
      </w:r>
      <w:r w:rsidRPr="00E9426A">
        <w:rPr>
          <w:rFonts w:ascii="Times New Roman" w:hAnsi="Times New Roman" w:cs="Times New Roman"/>
          <w:i/>
          <w:iCs/>
          <w:sz w:val="24"/>
          <w:szCs w:val="24"/>
        </w:rPr>
        <w:t>Humanities &amp; Social Sciences Communications, 11</w:t>
      </w:r>
      <w:r w:rsidRPr="00E9426A">
        <w:rPr>
          <w:rFonts w:ascii="Times New Roman" w:hAnsi="Times New Roman" w:cs="Times New Roman"/>
          <w:sz w:val="24"/>
          <w:szCs w:val="24"/>
        </w:rPr>
        <w:t>(1). https://doi.org/10.1038/s41599-024-03180-5</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Alotibe, M. (2024). Manag</w:t>
      </w:r>
      <w:r w:rsidRPr="00E9426A">
        <w:rPr>
          <w:rFonts w:ascii="Times New Roman" w:hAnsi="Times New Roman" w:cs="Times New Roman"/>
          <w:sz w:val="24"/>
          <w:szCs w:val="24"/>
        </w:rPr>
        <w:t xml:space="preserve">ing scope creep in project management. </w:t>
      </w:r>
      <w:r w:rsidRPr="00E9426A">
        <w:rPr>
          <w:rFonts w:ascii="Times New Roman" w:hAnsi="Times New Roman" w:cs="Times New Roman"/>
          <w:i/>
          <w:iCs/>
          <w:sz w:val="24"/>
          <w:szCs w:val="24"/>
        </w:rPr>
        <w:t>International Journal of Management and Commerce Innovations, 12</w:t>
      </w:r>
      <w:r w:rsidRPr="00E9426A">
        <w:rPr>
          <w:rFonts w:ascii="Times New Roman" w:hAnsi="Times New Roman" w:cs="Times New Roman"/>
          <w:sz w:val="24"/>
          <w:szCs w:val="24"/>
        </w:rPr>
        <w:t>(2), 82–86. https://doi.org/10.5281/zenodo.14281964</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Aramali, V., Gibson, G. E., El Asmar, M., &amp; Cho, N. (2021). Earned value management system state of p</w:t>
      </w:r>
      <w:r w:rsidRPr="00E9426A">
        <w:rPr>
          <w:rFonts w:ascii="Times New Roman" w:hAnsi="Times New Roman" w:cs="Times New Roman"/>
          <w:sz w:val="24"/>
          <w:szCs w:val="24"/>
        </w:rPr>
        <w:t xml:space="preserve">ractice: Identifying critical subprocesses, challenges, and environmental factors of a high-performing EVMS. </w:t>
      </w:r>
      <w:r w:rsidRPr="00E9426A">
        <w:rPr>
          <w:rFonts w:ascii="Times New Roman" w:hAnsi="Times New Roman" w:cs="Times New Roman"/>
          <w:i/>
          <w:iCs/>
          <w:sz w:val="24"/>
          <w:szCs w:val="24"/>
        </w:rPr>
        <w:t>Journal of Management in Engineering, 37</w:t>
      </w:r>
      <w:r w:rsidRPr="00E9426A">
        <w:rPr>
          <w:rFonts w:ascii="Times New Roman" w:hAnsi="Times New Roman" w:cs="Times New Roman"/>
          <w:sz w:val="24"/>
          <w:szCs w:val="24"/>
        </w:rPr>
        <w:t>(4). https://doi.org/10.1061/(asce)me.1943-5479.0000925</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Aramali, V., Sanboskani, H., Gibson, G. E., El Asma</w:t>
      </w:r>
      <w:r w:rsidRPr="00E9426A">
        <w:rPr>
          <w:rFonts w:ascii="Times New Roman" w:hAnsi="Times New Roman" w:cs="Times New Roman"/>
          <w:sz w:val="24"/>
          <w:szCs w:val="24"/>
        </w:rPr>
        <w:t xml:space="preserve">r, M., &amp; Cho, N. (2022). Forward-looking state-of-the-art review on earned value management systems: The disconnect between academia and industry. </w:t>
      </w:r>
      <w:r w:rsidRPr="00E9426A">
        <w:rPr>
          <w:rFonts w:ascii="Times New Roman" w:hAnsi="Times New Roman" w:cs="Times New Roman"/>
          <w:i/>
          <w:iCs/>
          <w:sz w:val="24"/>
          <w:szCs w:val="24"/>
        </w:rPr>
        <w:t>Journal of Management in Engineering, 38</w:t>
      </w:r>
      <w:r w:rsidRPr="00E9426A">
        <w:rPr>
          <w:rFonts w:ascii="Times New Roman" w:hAnsi="Times New Roman" w:cs="Times New Roman"/>
          <w:sz w:val="24"/>
          <w:szCs w:val="24"/>
        </w:rPr>
        <w:t>(3). https://doi.org/10.1061/(asce)me.1943-5479.0001019</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Barghi, B., &amp;</w:t>
      </w:r>
      <w:r w:rsidRPr="00E9426A">
        <w:rPr>
          <w:rFonts w:ascii="Times New Roman" w:hAnsi="Times New Roman" w:cs="Times New Roman"/>
          <w:sz w:val="24"/>
          <w:szCs w:val="24"/>
        </w:rPr>
        <w:t xml:space="preserve"> Sikari, S. S. (2020). Qualitative and quantitative project risk assessment using a hybrid PMBOK model developed under uncertainty conditions. </w:t>
      </w:r>
      <w:r w:rsidRPr="00E9426A">
        <w:rPr>
          <w:rFonts w:ascii="Times New Roman" w:hAnsi="Times New Roman" w:cs="Times New Roman"/>
          <w:i/>
          <w:iCs/>
          <w:sz w:val="24"/>
          <w:szCs w:val="24"/>
        </w:rPr>
        <w:t>Heliyon, 6</w:t>
      </w:r>
      <w:r w:rsidRPr="00E9426A">
        <w:rPr>
          <w:rFonts w:ascii="Times New Roman" w:hAnsi="Times New Roman" w:cs="Times New Roman"/>
          <w:sz w:val="24"/>
          <w:szCs w:val="24"/>
        </w:rPr>
        <w:t>(1), e03097. https://doi.org/10.1016/j.heliyon.2019.e03097</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Hasan, H. F., Yusoff, M. N., Teh, J. S., &amp; A</w:t>
      </w:r>
      <w:r w:rsidRPr="00E9426A">
        <w:rPr>
          <w:rFonts w:ascii="Times New Roman" w:hAnsi="Times New Roman" w:cs="Times New Roman"/>
          <w:sz w:val="24"/>
          <w:szCs w:val="24"/>
        </w:rPr>
        <w:t xml:space="preserve">li, S. M. A. (2025). Analyzing cryptographic techniques for efficient and secure multi-hop payments in the lightning network. </w:t>
      </w:r>
      <w:r w:rsidRPr="00E9426A">
        <w:rPr>
          <w:rFonts w:ascii="Times New Roman" w:hAnsi="Times New Roman" w:cs="Times New Roman"/>
          <w:i/>
          <w:iCs/>
          <w:sz w:val="24"/>
          <w:szCs w:val="24"/>
        </w:rPr>
        <w:t>Peer-to-Peer Networking and Applications, 18</w:t>
      </w:r>
      <w:r w:rsidRPr="00E9426A">
        <w:rPr>
          <w:rFonts w:ascii="Times New Roman" w:hAnsi="Times New Roman" w:cs="Times New Roman"/>
          <w:sz w:val="24"/>
          <w:szCs w:val="24"/>
        </w:rPr>
        <w:t>(6). https://doi.org/10.1007/s12083-025-02140-3</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Mayo-Alvarez, L., Alvarez-Risco, A., D</w:t>
      </w:r>
      <w:r w:rsidRPr="00E9426A">
        <w:rPr>
          <w:rFonts w:ascii="Times New Roman" w:hAnsi="Times New Roman" w:cs="Times New Roman"/>
          <w:sz w:val="24"/>
          <w:szCs w:val="24"/>
        </w:rPr>
        <w:t xml:space="preserve">el-Aguila-Arcentales, S., Sekar, M. C., &amp; Yañez, J. A. (2022). A systematic review of earned value management methods for monitoring and control of project schedule performance: An AHP approach. </w:t>
      </w:r>
      <w:r w:rsidRPr="00E9426A">
        <w:rPr>
          <w:rFonts w:ascii="Times New Roman" w:hAnsi="Times New Roman" w:cs="Times New Roman"/>
          <w:i/>
          <w:iCs/>
          <w:sz w:val="24"/>
          <w:szCs w:val="24"/>
        </w:rPr>
        <w:t>Sustainability, 14</w:t>
      </w:r>
      <w:r w:rsidRPr="00E9426A">
        <w:rPr>
          <w:rFonts w:ascii="Times New Roman" w:hAnsi="Times New Roman" w:cs="Times New Roman"/>
          <w:sz w:val="24"/>
          <w:szCs w:val="24"/>
        </w:rPr>
        <w:t>(22), 15259. https://doi.org/10.3390/su1422</w:t>
      </w:r>
      <w:r w:rsidRPr="00E9426A">
        <w:rPr>
          <w:rFonts w:ascii="Times New Roman" w:hAnsi="Times New Roman" w:cs="Times New Roman"/>
          <w:sz w:val="24"/>
          <w:szCs w:val="24"/>
        </w:rPr>
        <w:t>15259</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lastRenderedPageBreak/>
        <w:t xml:space="preserve">Project Management Institute. (2021). </w:t>
      </w:r>
      <w:r w:rsidRPr="00E9426A">
        <w:rPr>
          <w:rFonts w:ascii="Times New Roman" w:hAnsi="Times New Roman" w:cs="Times New Roman"/>
          <w:i/>
          <w:iCs/>
          <w:sz w:val="24"/>
          <w:szCs w:val="24"/>
        </w:rPr>
        <w:t>A guide to the project management body of knowledge (PMBOK® Guide)</w:t>
      </w:r>
      <w:r w:rsidRPr="00E9426A">
        <w:rPr>
          <w:rFonts w:ascii="Times New Roman" w:hAnsi="Times New Roman" w:cs="Times New Roman"/>
          <w:sz w:val="24"/>
          <w:szCs w:val="24"/>
        </w:rPr>
        <w:t xml:space="preserve"> (7th ed.). Project Management Institute. https://www.pmi.org/pmbok-guide-standards/foundational/pmbok</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Sai, V., &amp; Banda, G. (2024). ElasticPay: In</w:t>
      </w:r>
      <w:r w:rsidRPr="00E9426A">
        <w:rPr>
          <w:rFonts w:ascii="Times New Roman" w:hAnsi="Times New Roman" w:cs="Times New Roman"/>
          <w:sz w:val="24"/>
          <w:szCs w:val="24"/>
        </w:rPr>
        <w:t xml:space="preserve">stant peer-to-peer offline extended digital payment system. </w:t>
      </w:r>
      <w:r w:rsidRPr="00E9426A">
        <w:rPr>
          <w:rFonts w:ascii="Times New Roman" w:hAnsi="Times New Roman" w:cs="Times New Roman"/>
          <w:i/>
          <w:iCs/>
          <w:sz w:val="24"/>
          <w:szCs w:val="24"/>
        </w:rPr>
        <w:t>Sensors, 24</w:t>
      </w:r>
      <w:r w:rsidRPr="00E9426A">
        <w:rPr>
          <w:rFonts w:ascii="Times New Roman" w:hAnsi="Times New Roman" w:cs="Times New Roman"/>
          <w:sz w:val="24"/>
          <w:szCs w:val="24"/>
        </w:rPr>
        <w:t>(24), 8034. https://doi.org/10.3390/s24248034</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Setyopurnomo, R., Wiryono, S. K., Lestari, Y. D., &amp; Sukarno, S. (2025). Incorporating earned value management into income statements to imp</w:t>
      </w:r>
      <w:r w:rsidRPr="00E9426A">
        <w:rPr>
          <w:rFonts w:ascii="Times New Roman" w:hAnsi="Times New Roman" w:cs="Times New Roman"/>
          <w:sz w:val="24"/>
          <w:szCs w:val="24"/>
        </w:rPr>
        <w:t xml:space="preserve">rove project management profitability and elevate application in the business and management. </w:t>
      </w:r>
      <w:r w:rsidRPr="00E9426A">
        <w:rPr>
          <w:rFonts w:ascii="Times New Roman" w:hAnsi="Times New Roman" w:cs="Times New Roman"/>
          <w:i/>
          <w:iCs/>
          <w:sz w:val="24"/>
          <w:szCs w:val="24"/>
        </w:rPr>
        <w:t>PLOS ONE, 20</w:t>
      </w:r>
      <w:r w:rsidRPr="00E9426A">
        <w:rPr>
          <w:rFonts w:ascii="Times New Roman" w:hAnsi="Times New Roman" w:cs="Times New Roman"/>
          <w:sz w:val="24"/>
          <w:szCs w:val="24"/>
        </w:rPr>
        <w:t>(1), e0312956. https://doi.org/10.1371/journal.pone.0312956</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 xml:space="preserve">Sixt, E. (2025). Restoring trust in European payment rails: A framework for a shared </w:t>
      </w:r>
      <w:r w:rsidRPr="00E9426A">
        <w:rPr>
          <w:rFonts w:ascii="Times New Roman" w:hAnsi="Times New Roman" w:cs="Times New Roman"/>
          <w:sz w:val="24"/>
          <w:szCs w:val="24"/>
        </w:rPr>
        <w:t>liability reform. https://doi.org/10.2139/ssrn.5456554</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 xml:space="preserve">Song, J., Munyinda, M., &amp; Adu Sarfo, P. (2025). Examining the impact of risk management practices on sustainable project performance in the construction industry: The role of stakeholder engagement. </w:t>
      </w:r>
      <w:r w:rsidRPr="00E9426A">
        <w:rPr>
          <w:rFonts w:ascii="Times New Roman" w:hAnsi="Times New Roman" w:cs="Times New Roman"/>
          <w:i/>
          <w:iCs/>
          <w:sz w:val="24"/>
          <w:szCs w:val="24"/>
        </w:rPr>
        <w:t>Fr</w:t>
      </w:r>
      <w:r w:rsidRPr="00E9426A">
        <w:rPr>
          <w:rFonts w:ascii="Times New Roman" w:hAnsi="Times New Roman" w:cs="Times New Roman"/>
          <w:i/>
          <w:iCs/>
          <w:sz w:val="24"/>
          <w:szCs w:val="24"/>
        </w:rPr>
        <w:t>ontiers in Built Environment, 11</w:t>
      </w:r>
      <w:r w:rsidRPr="00E9426A">
        <w:rPr>
          <w:rFonts w:ascii="Times New Roman" w:hAnsi="Times New Roman" w:cs="Times New Roman"/>
          <w:sz w:val="24"/>
          <w:szCs w:val="24"/>
        </w:rPr>
        <w:t>. https://doi.org/10.3389/fbuil.2025.1575827</w:t>
      </w:r>
    </w:p>
    <w:p w:rsidR="00F77925" w:rsidRPr="00E9426A" w:rsidRDefault="000A5138" w:rsidP="00E9426A">
      <w:pPr>
        <w:spacing w:before="120" w:after="120" w:line="360" w:lineRule="auto"/>
        <w:ind w:left="720" w:hanging="720"/>
        <w:rPr>
          <w:rFonts w:ascii="Times New Roman" w:hAnsi="Times New Roman" w:cs="Times New Roman"/>
          <w:sz w:val="24"/>
          <w:szCs w:val="24"/>
        </w:rPr>
      </w:pPr>
      <w:r w:rsidRPr="00E9426A">
        <w:rPr>
          <w:rFonts w:ascii="Times New Roman" w:hAnsi="Times New Roman" w:cs="Times New Roman"/>
          <w:sz w:val="24"/>
          <w:szCs w:val="24"/>
        </w:rPr>
        <w:t xml:space="preserve">Western Governors University. (2026). </w:t>
      </w:r>
      <w:r w:rsidRPr="00E9426A">
        <w:rPr>
          <w:rFonts w:ascii="Times New Roman" w:hAnsi="Times New Roman" w:cs="Times New Roman"/>
          <w:i/>
          <w:iCs/>
          <w:sz w:val="24"/>
          <w:szCs w:val="24"/>
        </w:rPr>
        <w:t>Case Study 5: Merrilton Mobile Payment Portal</w:t>
      </w:r>
      <w:r w:rsidRPr="00E9426A">
        <w:rPr>
          <w:rFonts w:ascii="Times New Roman" w:hAnsi="Times New Roman" w:cs="Times New Roman"/>
          <w:sz w:val="24"/>
          <w:szCs w:val="24"/>
        </w:rPr>
        <w:t>. Course materials, C857 IT Project Management. Western Governors University.</w:t>
      </w:r>
    </w:p>
    <w:sectPr w:rsidR="00F77925" w:rsidRPr="00E9426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849A7"/>
    <w:multiLevelType w:val="hybridMultilevel"/>
    <w:tmpl w:val="81BEE8C2"/>
    <w:lvl w:ilvl="0" w:tplc="29D09BA8">
      <w:start w:val="1"/>
      <w:numFmt w:val="bullet"/>
      <w:lvlText w:val="●"/>
      <w:lvlJc w:val="left"/>
      <w:pPr>
        <w:ind w:left="720" w:hanging="360"/>
      </w:pPr>
    </w:lvl>
    <w:lvl w:ilvl="1" w:tplc="0D06F8F6">
      <w:start w:val="1"/>
      <w:numFmt w:val="bullet"/>
      <w:lvlText w:val="○"/>
      <w:lvlJc w:val="left"/>
      <w:pPr>
        <w:ind w:left="1440" w:hanging="360"/>
      </w:pPr>
    </w:lvl>
    <w:lvl w:ilvl="2" w:tplc="87F65138">
      <w:start w:val="1"/>
      <w:numFmt w:val="bullet"/>
      <w:lvlText w:val="■"/>
      <w:lvlJc w:val="left"/>
      <w:pPr>
        <w:ind w:left="2160" w:hanging="360"/>
      </w:pPr>
    </w:lvl>
    <w:lvl w:ilvl="3" w:tplc="43DE0688">
      <w:start w:val="1"/>
      <w:numFmt w:val="bullet"/>
      <w:lvlText w:val="●"/>
      <w:lvlJc w:val="left"/>
      <w:pPr>
        <w:ind w:left="2880" w:hanging="360"/>
      </w:pPr>
    </w:lvl>
    <w:lvl w:ilvl="4" w:tplc="FB6886F6">
      <w:start w:val="1"/>
      <w:numFmt w:val="bullet"/>
      <w:lvlText w:val="○"/>
      <w:lvlJc w:val="left"/>
      <w:pPr>
        <w:ind w:left="3600" w:hanging="360"/>
      </w:pPr>
    </w:lvl>
    <w:lvl w:ilvl="5" w:tplc="F6C8F8B8">
      <w:start w:val="1"/>
      <w:numFmt w:val="bullet"/>
      <w:lvlText w:val="■"/>
      <w:lvlJc w:val="left"/>
      <w:pPr>
        <w:ind w:left="4320" w:hanging="360"/>
      </w:pPr>
    </w:lvl>
    <w:lvl w:ilvl="6" w:tplc="403CB26A">
      <w:start w:val="1"/>
      <w:numFmt w:val="bullet"/>
      <w:lvlText w:val="●"/>
      <w:lvlJc w:val="left"/>
      <w:pPr>
        <w:ind w:left="5040" w:hanging="360"/>
      </w:pPr>
    </w:lvl>
    <w:lvl w:ilvl="7" w:tplc="21E23BCA">
      <w:start w:val="1"/>
      <w:numFmt w:val="bullet"/>
      <w:lvlText w:val="●"/>
      <w:lvlJc w:val="left"/>
      <w:pPr>
        <w:ind w:left="5760" w:hanging="360"/>
      </w:pPr>
    </w:lvl>
    <w:lvl w:ilvl="8" w:tplc="FEF6A65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925"/>
    <w:rsid w:val="000A5138"/>
    <w:rsid w:val="00141983"/>
    <w:rsid w:val="00273864"/>
    <w:rsid w:val="00A66CA3"/>
    <w:rsid w:val="00B153C3"/>
    <w:rsid w:val="00E9426A"/>
    <w:rsid w:val="00F77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0044C7-2446-4D27-B3A6-FB25AFB12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qFormat/>
    <w:pPr>
      <w:spacing w:before="300" w:after="160"/>
      <w:outlineLvl w:val="0"/>
    </w:pPr>
    <w:rPr>
      <w:b/>
      <w:bCs/>
      <w:color w:val="2E4B8B"/>
      <w:sz w:val="28"/>
      <w:szCs w:val="28"/>
    </w:rPr>
  </w:style>
  <w:style w:type="paragraph" w:styleId="Heading2">
    <w:name w:val="heading 2"/>
    <w:qFormat/>
    <w:pPr>
      <w:spacing w:before="200" w:after="120"/>
      <w:outlineLvl w:val="1"/>
    </w:pPr>
    <w:rPr>
      <w:b/>
      <w:bCs/>
      <w:color w:val="1A3060"/>
      <w:sz w:val="24"/>
      <w:szCs w:val="24"/>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273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5608</Words>
  <Characters>31967</Characters>
  <Application>Microsoft Office Word</Application>
  <DocSecurity>0</DocSecurity>
  <Lines>266</Lines>
  <Paragraphs>74</Paragraphs>
  <ScaleCrop>false</ScaleCrop>
  <Company/>
  <LinksUpToDate>false</LinksUpToDate>
  <CharactersWithSpaces>37501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Microsoft account</cp:lastModifiedBy>
  <cp:revision>2</cp:revision>
  <dcterms:created xsi:type="dcterms:W3CDTF">2026-04-03T15:40:00Z</dcterms:created>
  <dcterms:modified xsi:type="dcterms:W3CDTF">2026-04-03T15:40:00Z</dcterms:modified>
</cp:coreProperties>
</file>